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11629" w14:textId="77777777" w:rsidR="00152EDF" w:rsidRPr="009D5635" w:rsidRDefault="00152EDF" w:rsidP="00C60135">
      <w:pPr>
        <w:widowControl w:val="0"/>
        <w:suppressAutoHyphens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8"/>
          <w:szCs w:val="28"/>
        </w:rPr>
      </w:pPr>
    </w:p>
    <w:p w14:paraId="44BBC68F" w14:textId="77777777" w:rsidR="00152EDF" w:rsidRPr="009D5635" w:rsidRDefault="00152EDF" w:rsidP="00C60135">
      <w:pPr>
        <w:widowControl w:val="0"/>
        <w:suppressAutoHyphens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8"/>
          <w:szCs w:val="28"/>
        </w:rPr>
      </w:pPr>
    </w:p>
    <w:p w14:paraId="72BD4778" w14:textId="77777777" w:rsidR="00152EDF" w:rsidRPr="009D5635" w:rsidRDefault="00152EDF" w:rsidP="00C60135">
      <w:pPr>
        <w:widowControl w:val="0"/>
        <w:suppressAutoHyphens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8"/>
          <w:szCs w:val="28"/>
        </w:rPr>
      </w:pPr>
    </w:p>
    <w:p w14:paraId="626BC765" w14:textId="77777777" w:rsidR="00152EDF" w:rsidRPr="009D5635" w:rsidRDefault="00152EDF" w:rsidP="00C60135">
      <w:pPr>
        <w:widowControl w:val="0"/>
        <w:suppressAutoHyphens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8"/>
          <w:szCs w:val="28"/>
        </w:rPr>
      </w:pPr>
    </w:p>
    <w:p w14:paraId="5BCD50D2" w14:textId="77777777" w:rsidR="00152EDF" w:rsidRPr="009D5635" w:rsidRDefault="00152EDF" w:rsidP="00C60135">
      <w:pPr>
        <w:widowControl w:val="0"/>
        <w:suppressAutoHyphens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8"/>
          <w:szCs w:val="28"/>
        </w:rPr>
      </w:pPr>
    </w:p>
    <w:p w14:paraId="6EA26E0A" w14:textId="77777777" w:rsidR="00152EDF" w:rsidRPr="009D5635" w:rsidRDefault="00152EDF" w:rsidP="00C60135">
      <w:pPr>
        <w:widowControl w:val="0"/>
        <w:suppressAutoHyphens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8"/>
          <w:szCs w:val="28"/>
        </w:rPr>
      </w:pPr>
    </w:p>
    <w:p w14:paraId="68646918" w14:textId="77777777" w:rsidR="00152EDF" w:rsidRPr="009D5635" w:rsidRDefault="00152EDF" w:rsidP="00C60135">
      <w:pPr>
        <w:widowControl w:val="0"/>
        <w:suppressAutoHyphens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8"/>
          <w:szCs w:val="28"/>
        </w:rPr>
      </w:pPr>
    </w:p>
    <w:p w14:paraId="6F20BA79" w14:textId="77777777" w:rsidR="00152EDF" w:rsidRPr="009D5635" w:rsidRDefault="00152EDF" w:rsidP="00C60135">
      <w:pPr>
        <w:widowControl w:val="0"/>
        <w:suppressAutoHyphens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8"/>
          <w:szCs w:val="28"/>
        </w:rPr>
      </w:pPr>
    </w:p>
    <w:p w14:paraId="4DCCE9FD" w14:textId="77777777" w:rsidR="00C81A1E" w:rsidRPr="009D5635" w:rsidRDefault="00C81A1E" w:rsidP="00C60135">
      <w:pPr>
        <w:widowControl w:val="0"/>
        <w:suppressAutoHyphens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6"/>
          <w:szCs w:val="32"/>
        </w:rPr>
      </w:pPr>
      <w:bookmarkStart w:id="0" w:name="_Hlk140485966"/>
      <w:r w:rsidRPr="009D5635">
        <w:rPr>
          <w:rFonts w:ascii="Arial" w:eastAsia="Calibri" w:hAnsi="Arial" w:cs="Arial"/>
          <w:b/>
          <w:sz w:val="36"/>
          <w:szCs w:val="32"/>
        </w:rPr>
        <w:t>СХЕМА ТЕПЛОСНАБЖЕНИЯ</w:t>
      </w:r>
      <w:r w:rsidRPr="009D5635">
        <w:rPr>
          <w:rFonts w:ascii="Arial" w:eastAsia="Calibri" w:hAnsi="Arial" w:cs="Arial"/>
          <w:b/>
          <w:sz w:val="36"/>
          <w:szCs w:val="32"/>
        </w:rPr>
        <w:br/>
        <w:t xml:space="preserve">ГОРОДСКОГО ОКРУГА ГОРОДА ЛИПЕЦКА </w:t>
      </w:r>
      <w:r w:rsidRPr="009D5635">
        <w:rPr>
          <w:rFonts w:ascii="Arial" w:eastAsia="Calibri" w:hAnsi="Arial" w:cs="Arial"/>
          <w:b/>
          <w:sz w:val="36"/>
          <w:szCs w:val="32"/>
        </w:rPr>
        <w:br/>
        <w:t>НА ПЕРИОД ДО 2042 ГОДА</w:t>
      </w:r>
    </w:p>
    <w:bookmarkEnd w:id="0"/>
    <w:p w14:paraId="6B746AA0" w14:textId="77777777" w:rsidR="00035FC9" w:rsidRPr="009D5635" w:rsidRDefault="00035FC9" w:rsidP="00C60135">
      <w:pPr>
        <w:widowControl w:val="0"/>
        <w:suppressAutoHyphens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8"/>
          <w:szCs w:val="28"/>
        </w:rPr>
      </w:pPr>
    </w:p>
    <w:p w14:paraId="6C2B6758" w14:textId="77777777" w:rsidR="00035FC9" w:rsidRPr="009D5635" w:rsidRDefault="00035FC9" w:rsidP="00C60135">
      <w:pPr>
        <w:widowControl w:val="0"/>
        <w:suppressAutoHyphens/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32"/>
          <w:szCs w:val="32"/>
        </w:rPr>
      </w:pPr>
      <w:r w:rsidRPr="009D5635">
        <w:rPr>
          <w:rFonts w:ascii="Arial" w:eastAsia="Calibri" w:hAnsi="Arial" w:cs="Arial"/>
          <w:b/>
          <w:sz w:val="32"/>
          <w:szCs w:val="32"/>
        </w:rPr>
        <w:t>ОБОСНОВЫВАЮЩИЕ МАТЕРИАЛЫ</w:t>
      </w:r>
    </w:p>
    <w:p w14:paraId="3E36CD30" w14:textId="77777777" w:rsidR="00152EDF" w:rsidRPr="009D5635" w:rsidRDefault="00152EDF" w:rsidP="00C6013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szCs w:val="24"/>
          <w:lang w:eastAsia="ru-RU"/>
        </w:rPr>
      </w:pPr>
    </w:p>
    <w:p w14:paraId="576A834D" w14:textId="60D7D848" w:rsidR="00152EDF" w:rsidRPr="009D5635" w:rsidRDefault="00152EDF" w:rsidP="00C6013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sz w:val="32"/>
          <w:szCs w:val="32"/>
          <w:lang w:eastAsia="ru-RU"/>
        </w:rPr>
      </w:pPr>
      <w:r w:rsidRPr="009D5635">
        <w:rPr>
          <w:rFonts w:ascii="Arial" w:eastAsia="Calibri" w:hAnsi="Arial" w:cs="Arial"/>
          <w:b/>
          <w:sz w:val="32"/>
          <w:szCs w:val="32"/>
          <w:lang w:eastAsia="ru-RU"/>
        </w:rPr>
        <w:t>ГЛАВА</w:t>
      </w:r>
      <w:r w:rsidRPr="009D5635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17</w:t>
      </w:r>
    </w:p>
    <w:p w14:paraId="2C3C0B26" w14:textId="686199B5" w:rsidR="00152EDF" w:rsidRPr="009D5635" w:rsidRDefault="00152EDF" w:rsidP="00C6013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9D5635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Замечания и предложения к проекту схемы теплоснабжения</w:t>
      </w:r>
    </w:p>
    <w:p w14:paraId="1684730B" w14:textId="77777777" w:rsidR="00152EDF" w:rsidRPr="009D5635" w:rsidRDefault="00152EDF" w:rsidP="00C6013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sz w:val="32"/>
          <w:szCs w:val="32"/>
          <w:lang w:eastAsia="ru-RU"/>
        </w:rPr>
      </w:pPr>
    </w:p>
    <w:p w14:paraId="723E3659" w14:textId="77777777" w:rsidR="00152EDF" w:rsidRPr="009D5635" w:rsidRDefault="00152EDF" w:rsidP="00C60135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ru-RU"/>
        </w:rPr>
      </w:pPr>
    </w:p>
    <w:p w14:paraId="57B7EDDD" w14:textId="77777777" w:rsidR="00152EDF" w:rsidRPr="009D5635" w:rsidRDefault="00152EDF" w:rsidP="00C60135">
      <w:pPr>
        <w:widowControl w:val="0"/>
        <w:autoSpaceDE w:val="0"/>
        <w:autoSpaceDN w:val="0"/>
        <w:adjustRightInd w:val="0"/>
        <w:spacing w:before="360" w:after="0" w:line="360" w:lineRule="auto"/>
        <w:ind w:firstLine="567"/>
        <w:rPr>
          <w:rFonts w:ascii="Arial" w:eastAsia="Times New Roman" w:hAnsi="Arial" w:cs="Arial"/>
          <w:b/>
          <w:bCs/>
          <w:caps/>
          <w:szCs w:val="24"/>
          <w:lang w:eastAsia="ru-RU"/>
        </w:rPr>
        <w:sectPr w:rsidR="00152EDF" w:rsidRPr="009D5635" w:rsidSect="00152EDF">
          <w:footerReference w:type="even" r:id="rId8"/>
          <w:footerReference w:type="first" r:id="rId9"/>
          <w:pgSz w:w="11906" w:h="16838"/>
          <w:pgMar w:top="851" w:right="851" w:bottom="851" w:left="1418" w:header="567" w:footer="283" w:gutter="0"/>
          <w:cols w:space="708"/>
          <w:docGrid w:linePitch="360"/>
        </w:sectPr>
      </w:pPr>
    </w:p>
    <w:p w14:paraId="01C48BCC" w14:textId="77777777" w:rsidR="00D218C4" w:rsidRPr="009D5635" w:rsidRDefault="00D218C4" w:rsidP="00C60135">
      <w:pPr>
        <w:pStyle w:val="10"/>
        <w:numPr>
          <w:ilvl w:val="0"/>
          <w:numId w:val="0"/>
        </w:numPr>
      </w:pPr>
      <w:bookmarkStart w:id="1" w:name="_Toc133193087"/>
      <w:r w:rsidRPr="009D5635">
        <w:lastRenderedPageBreak/>
        <w:t xml:space="preserve">СОСТАВ </w:t>
      </w:r>
      <w:r w:rsidR="00650400" w:rsidRPr="009D5635">
        <w:t>ПРОЕКТА</w:t>
      </w:r>
      <w:bookmarkEnd w:id="1"/>
    </w:p>
    <w:p w14:paraId="01C48BCD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Обосновывающие материалы к схеме теплоснабжения.</w:t>
      </w:r>
    </w:p>
    <w:p w14:paraId="01C48BCE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1. Существующее положение в сфере производства, передачи и потребления тепловой энергии для целей теплоснабжения.</w:t>
      </w:r>
    </w:p>
    <w:p w14:paraId="01C48BCF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Часть 1. Функциональная структура теплоснабжения.</w:t>
      </w:r>
    </w:p>
    <w:p w14:paraId="01C48BD0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Часть 2. Источники тепловой энергии.</w:t>
      </w:r>
    </w:p>
    <w:p w14:paraId="01C48BD1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Часть 3. Тепловые сети, сооружения на них.</w:t>
      </w:r>
    </w:p>
    <w:p w14:paraId="01C48BD2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Часть 4. Зоны действия источников тепловой энергии.</w:t>
      </w:r>
    </w:p>
    <w:p w14:paraId="01C48BD3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Часть 5. Тепловые нагрузки потребителей тепловой энергии, групп потребителей тепловой энергии.</w:t>
      </w:r>
    </w:p>
    <w:p w14:paraId="01C48BD4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Часть 6. Балансы тепловой мощности и тепловой нагрузки.</w:t>
      </w:r>
    </w:p>
    <w:p w14:paraId="01C48BD5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Часть 7. Балансы теплоносителя.</w:t>
      </w:r>
    </w:p>
    <w:p w14:paraId="01C48BD6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Часть 8. Топливные балансы источников тепловой энергии и система обеспечения топливом.</w:t>
      </w:r>
    </w:p>
    <w:p w14:paraId="01C48BD7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Часть 9. Надежность теплоснабжения.</w:t>
      </w:r>
    </w:p>
    <w:p w14:paraId="01C48BD8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Часть 10. Технико-экономические показатели теплоснабжающих и теплосетевых организаций.</w:t>
      </w:r>
    </w:p>
    <w:p w14:paraId="01C48BD9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Часть 11. Цены (тарифы) в сфере теплоснабжения.</w:t>
      </w:r>
    </w:p>
    <w:p w14:paraId="01C48BDA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Часть 12. Описание существующих технических и технологических проблем в системах теплоснабжения.</w:t>
      </w:r>
    </w:p>
    <w:p w14:paraId="01C48BDB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Часть 13. Экологическая безопасность теплоснабжения.</w:t>
      </w:r>
    </w:p>
    <w:p w14:paraId="01C48BDC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2. Существующее и перспективное потребление тепловой энергии на цели теплоснабжения.</w:t>
      </w:r>
    </w:p>
    <w:p w14:paraId="01C48BDD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3. Электронная модель системы теплоснабжения.</w:t>
      </w:r>
    </w:p>
    <w:p w14:paraId="01C48BDE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4. Существующие и перспективные балансы тепловой мощности источников тепловой энергии и тепловой нагрузки потребителей.</w:t>
      </w:r>
    </w:p>
    <w:p w14:paraId="01C48BDF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5. Мастер-план развития систем теплоснабжения.</w:t>
      </w:r>
    </w:p>
    <w:p w14:paraId="01C48BE0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</w:r>
    </w:p>
    <w:p w14:paraId="01C48BE1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7. Предложения по строительству, реконструкции, техническому перевооружению и (или) модернизации источников тепловой энергии.</w:t>
      </w:r>
    </w:p>
    <w:p w14:paraId="01C48BE2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8. Предложения по строительству, реконструкции и (или) модернизации тепловых сетей.</w:t>
      </w:r>
    </w:p>
    <w:p w14:paraId="01C48BE3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9. Предложения по переводу открытых систем теплоснабжения (горячего водоснабжения) в закрытые системы горячего водоснабжения.</w:t>
      </w:r>
    </w:p>
    <w:p w14:paraId="01C48BE4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10. Перспективные топливные балансы.</w:t>
      </w:r>
    </w:p>
    <w:p w14:paraId="01C48BE5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11. Оценка надежности теплоснабжения.</w:t>
      </w:r>
    </w:p>
    <w:p w14:paraId="01C48BE6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lastRenderedPageBreak/>
        <w:t>Глава 12. Обоснование инвестиций в строительство, реконструкцию, техническое перевооружение и (или) модернизацию.</w:t>
      </w:r>
    </w:p>
    <w:p w14:paraId="01C48BE7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13. Индикаторы развития систем теплоснабжения.</w:t>
      </w:r>
    </w:p>
    <w:p w14:paraId="01C48BE8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14. Ценовые (тарифные) последствия.</w:t>
      </w:r>
    </w:p>
    <w:p w14:paraId="01C48BE9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15. Реестр единых теплоснабжающих организаций.</w:t>
      </w:r>
    </w:p>
    <w:p w14:paraId="01C48BEA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16. Реестр мероприятий схемы теплоснабжения.</w:t>
      </w:r>
    </w:p>
    <w:p w14:paraId="01C48BEB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17. Замечания и предложения к проекту схемы теплоснабжения.</w:t>
      </w:r>
    </w:p>
    <w:p w14:paraId="01C48BEC" w14:textId="7F6DF41A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18.</w:t>
      </w:r>
      <w:r w:rsidR="006C52FF" w:rsidRPr="009D5635">
        <w:rPr>
          <w:color w:val="auto"/>
        </w:rPr>
        <w:t xml:space="preserve"> </w:t>
      </w:r>
      <w:r w:rsidRPr="009D5635">
        <w:rPr>
          <w:color w:val="auto"/>
        </w:rPr>
        <w:t>Сводный том изменений, выполненных в доработанной и (или) актуализированной схеме теплоснабжения.</w:t>
      </w:r>
    </w:p>
    <w:p w14:paraId="01C48BED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Глава 19. Оценка экологической безопасности теплоснабжения.</w:t>
      </w:r>
    </w:p>
    <w:p w14:paraId="01C48BEE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Схема теплоснабжения.</w:t>
      </w:r>
    </w:p>
    <w:p w14:paraId="01C48BEF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Раздел 1. Показатели существующего и перспективного спроса на тепловую энергию (мощность) и теплоноситель в установленных границах территории города федерального значения.</w:t>
      </w:r>
    </w:p>
    <w:p w14:paraId="01C48BF0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Раздел 2. Существующие и перспективные балансы тепловой мощности источников тепловой энергии и тепловой нагрузки потребителей.</w:t>
      </w:r>
    </w:p>
    <w:p w14:paraId="01C48BF1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Раздел 3. Существующие и перспективные балансы теплоносителя.</w:t>
      </w:r>
    </w:p>
    <w:p w14:paraId="01C48BF2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Раздел 4. Основные положения мастер-плана развития систем теплоснабжения.</w:t>
      </w:r>
    </w:p>
    <w:p w14:paraId="01C48BF3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Раздел 5. Предложения по строительству, реконструкции и техническому перевооружению источников тепловой энергии.</w:t>
      </w:r>
    </w:p>
    <w:p w14:paraId="01C48BF4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Раздел 6. Предложения по строительству и реконструкции тепловых сетей.</w:t>
      </w:r>
    </w:p>
    <w:p w14:paraId="01C48BF5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Раздел 7. Предложения по переводу открытых систем теплоснабжения (горячего водоснабжения) в закрытые системы горячего водоснабжения.</w:t>
      </w:r>
    </w:p>
    <w:p w14:paraId="01C48BF6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Раздел 8. Перспективные топливные балансы.</w:t>
      </w:r>
    </w:p>
    <w:p w14:paraId="01C48BF7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Раздел 9. Инвестиции в строительство, реконструкцию и техническое перевооружение.</w:t>
      </w:r>
    </w:p>
    <w:p w14:paraId="01C48BF8" w14:textId="4E7B84FB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Раздел 10. Решение об определении единой теплоснабжающей организации (организаци</w:t>
      </w:r>
      <w:r w:rsidR="00F928DE" w:rsidRPr="009D5635">
        <w:rPr>
          <w:color w:val="auto"/>
        </w:rPr>
        <w:t>ям</w:t>
      </w:r>
      <w:r w:rsidRPr="009D5635">
        <w:rPr>
          <w:color w:val="auto"/>
        </w:rPr>
        <w:t>).</w:t>
      </w:r>
    </w:p>
    <w:p w14:paraId="01C48BF9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Раздел 11. Решения о распределении тепловой нагрузки между источниками тепловой энергии.</w:t>
      </w:r>
    </w:p>
    <w:p w14:paraId="01C48BFA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Раздел 12. Решения по бесхозяйным тепловым сетям.</w:t>
      </w:r>
    </w:p>
    <w:p w14:paraId="01C48BFB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Раздел 13. 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значения.</w:t>
      </w:r>
    </w:p>
    <w:p w14:paraId="01C48BFC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Раздел 14. Индикаторы развития систем теплоснабжения поселения, городского округа, города федерального значения.</w:t>
      </w:r>
    </w:p>
    <w:p w14:paraId="01C48BFD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Раздел 15. Ценовые (тарифные) последствия.</w:t>
      </w:r>
    </w:p>
    <w:p w14:paraId="01C48BFE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Раздел 16. Обеспечение экологической безопасности теплоснабжения.</w:t>
      </w:r>
    </w:p>
    <w:p w14:paraId="01C48BFF" w14:textId="77777777" w:rsidR="007E6445" w:rsidRPr="009D5635" w:rsidRDefault="007E6445" w:rsidP="00C60135">
      <w:pPr>
        <w:pStyle w:val="10"/>
        <w:numPr>
          <w:ilvl w:val="0"/>
          <w:numId w:val="0"/>
        </w:numPr>
      </w:pPr>
      <w:r w:rsidRPr="009D5635">
        <w:br w:type="page"/>
      </w:r>
      <w:bookmarkStart w:id="2" w:name="_Toc419463958"/>
      <w:bookmarkStart w:id="3" w:name="_Toc421613354"/>
      <w:bookmarkStart w:id="4" w:name="_Toc460344796"/>
      <w:bookmarkStart w:id="5" w:name="_Toc133193088"/>
      <w:r w:rsidRPr="009D5635">
        <w:lastRenderedPageBreak/>
        <w:t>СОДЕРЖАНИЕ</w:t>
      </w:r>
      <w:bookmarkEnd w:id="2"/>
      <w:bookmarkEnd w:id="3"/>
      <w:bookmarkEnd w:id="4"/>
      <w:bookmarkEnd w:id="5"/>
    </w:p>
    <w:p w14:paraId="6A61ED6D" w14:textId="3F6FF257" w:rsidR="009808A9" w:rsidRPr="009D5635" w:rsidRDefault="00046A08" w:rsidP="00C60135">
      <w:pPr>
        <w:pStyle w:val="14"/>
        <w:tabs>
          <w:tab w:val="right" w:leader="dot" w:pos="9627"/>
        </w:tabs>
        <w:spacing w:before="0" w:after="0" w:line="360" w:lineRule="auto"/>
        <w:rPr>
          <w:rFonts w:ascii="Arial" w:eastAsiaTheme="minorEastAsia" w:hAnsi="Arial" w:cs="Arial"/>
          <w:b w:val="0"/>
          <w:bCs w:val="0"/>
          <w:noProof/>
          <w:sz w:val="22"/>
          <w:szCs w:val="22"/>
          <w:lang w:eastAsia="ru-RU"/>
        </w:rPr>
      </w:pPr>
      <w:r w:rsidRPr="009D5635">
        <w:rPr>
          <w:rFonts w:ascii="Arial" w:hAnsi="Arial" w:cs="Arial"/>
          <w:b w:val="0"/>
          <w:sz w:val="22"/>
          <w:szCs w:val="22"/>
        </w:rPr>
        <w:fldChar w:fldCharType="begin"/>
      </w:r>
      <w:r w:rsidRPr="009D5635">
        <w:rPr>
          <w:rFonts w:ascii="Arial" w:hAnsi="Arial" w:cs="Arial"/>
          <w:b w:val="0"/>
          <w:sz w:val="22"/>
          <w:szCs w:val="22"/>
        </w:rPr>
        <w:instrText xml:space="preserve"> TOC \o "2-2" \u \t "Заголовок 1;1" </w:instrText>
      </w:r>
      <w:r w:rsidRPr="009D5635">
        <w:rPr>
          <w:rFonts w:ascii="Arial" w:hAnsi="Arial" w:cs="Arial"/>
          <w:b w:val="0"/>
          <w:sz w:val="22"/>
          <w:szCs w:val="22"/>
        </w:rPr>
        <w:fldChar w:fldCharType="separate"/>
      </w:r>
      <w:r w:rsidR="009808A9" w:rsidRPr="009D5635">
        <w:rPr>
          <w:rFonts w:ascii="Arial" w:hAnsi="Arial" w:cs="Arial"/>
          <w:b w:val="0"/>
          <w:noProof/>
          <w:sz w:val="22"/>
          <w:szCs w:val="22"/>
        </w:rPr>
        <w:t>СОСТАВ ПРОЕКТА</w:t>
      </w:r>
      <w:r w:rsidR="009808A9" w:rsidRPr="009D5635">
        <w:rPr>
          <w:rFonts w:ascii="Arial" w:hAnsi="Arial" w:cs="Arial"/>
          <w:b w:val="0"/>
          <w:noProof/>
          <w:sz w:val="22"/>
          <w:szCs w:val="22"/>
        </w:rPr>
        <w:tab/>
      </w:r>
      <w:r w:rsidR="009808A9" w:rsidRPr="009D5635">
        <w:rPr>
          <w:rFonts w:ascii="Arial" w:hAnsi="Arial" w:cs="Arial"/>
          <w:b w:val="0"/>
          <w:noProof/>
          <w:sz w:val="22"/>
          <w:szCs w:val="22"/>
        </w:rPr>
        <w:fldChar w:fldCharType="begin"/>
      </w:r>
      <w:r w:rsidR="009808A9" w:rsidRPr="009D5635">
        <w:rPr>
          <w:rFonts w:ascii="Arial" w:hAnsi="Arial" w:cs="Arial"/>
          <w:b w:val="0"/>
          <w:noProof/>
          <w:sz w:val="22"/>
          <w:szCs w:val="22"/>
        </w:rPr>
        <w:instrText xml:space="preserve"> PAGEREF _Toc133193087 \h </w:instrText>
      </w:r>
      <w:r w:rsidR="009808A9" w:rsidRPr="009D5635">
        <w:rPr>
          <w:rFonts w:ascii="Arial" w:hAnsi="Arial" w:cs="Arial"/>
          <w:b w:val="0"/>
          <w:noProof/>
          <w:sz w:val="22"/>
          <w:szCs w:val="22"/>
        </w:rPr>
      </w:r>
      <w:r w:rsidR="009808A9" w:rsidRPr="009D5635">
        <w:rPr>
          <w:rFonts w:ascii="Arial" w:hAnsi="Arial" w:cs="Arial"/>
          <w:b w:val="0"/>
          <w:noProof/>
          <w:sz w:val="22"/>
          <w:szCs w:val="22"/>
        </w:rPr>
        <w:fldChar w:fldCharType="separate"/>
      </w:r>
      <w:r w:rsidR="00B37559">
        <w:rPr>
          <w:rFonts w:ascii="Arial" w:hAnsi="Arial" w:cs="Arial"/>
          <w:b w:val="0"/>
          <w:noProof/>
          <w:sz w:val="22"/>
          <w:szCs w:val="22"/>
        </w:rPr>
        <w:t>2</w:t>
      </w:r>
      <w:r w:rsidR="009808A9" w:rsidRPr="009D5635">
        <w:rPr>
          <w:rFonts w:ascii="Arial" w:hAnsi="Arial" w:cs="Arial"/>
          <w:b w:val="0"/>
          <w:noProof/>
          <w:sz w:val="22"/>
          <w:szCs w:val="22"/>
        </w:rPr>
        <w:fldChar w:fldCharType="end"/>
      </w:r>
    </w:p>
    <w:p w14:paraId="49DE5CD1" w14:textId="4A9324F2" w:rsidR="009808A9" w:rsidRPr="009D5635" w:rsidRDefault="009808A9" w:rsidP="00C60135">
      <w:pPr>
        <w:pStyle w:val="14"/>
        <w:tabs>
          <w:tab w:val="right" w:leader="dot" w:pos="9627"/>
        </w:tabs>
        <w:spacing w:before="0" w:after="0" w:line="360" w:lineRule="auto"/>
        <w:rPr>
          <w:rFonts w:ascii="Arial" w:eastAsiaTheme="minorEastAsia" w:hAnsi="Arial" w:cs="Arial"/>
          <w:b w:val="0"/>
          <w:bCs w:val="0"/>
          <w:noProof/>
          <w:sz w:val="22"/>
          <w:szCs w:val="22"/>
          <w:lang w:eastAsia="ru-RU"/>
        </w:rPr>
      </w:pPr>
      <w:r w:rsidRPr="009D5635">
        <w:rPr>
          <w:rFonts w:ascii="Arial" w:hAnsi="Arial" w:cs="Arial"/>
          <w:b w:val="0"/>
          <w:noProof/>
          <w:sz w:val="22"/>
          <w:szCs w:val="22"/>
        </w:rPr>
        <w:t>СОДЕРЖАНИЕ</w:t>
      </w:r>
      <w:r w:rsidRPr="009D5635">
        <w:rPr>
          <w:rFonts w:ascii="Arial" w:hAnsi="Arial" w:cs="Arial"/>
          <w:b w:val="0"/>
          <w:noProof/>
          <w:sz w:val="22"/>
          <w:szCs w:val="22"/>
        </w:rPr>
        <w:tab/>
      </w:r>
      <w:r w:rsidRPr="009D5635">
        <w:rPr>
          <w:rFonts w:ascii="Arial" w:hAnsi="Arial" w:cs="Arial"/>
          <w:b w:val="0"/>
          <w:noProof/>
          <w:sz w:val="22"/>
          <w:szCs w:val="22"/>
        </w:rPr>
        <w:fldChar w:fldCharType="begin"/>
      </w:r>
      <w:r w:rsidRPr="009D5635">
        <w:rPr>
          <w:rFonts w:ascii="Arial" w:hAnsi="Arial" w:cs="Arial"/>
          <w:b w:val="0"/>
          <w:noProof/>
          <w:sz w:val="22"/>
          <w:szCs w:val="22"/>
        </w:rPr>
        <w:instrText xml:space="preserve"> PAGEREF _Toc133193088 \h </w:instrText>
      </w:r>
      <w:r w:rsidRPr="009D5635">
        <w:rPr>
          <w:rFonts w:ascii="Arial" w:hAnsi="Arial" w:cs="Arial"/>
          <w:b w:val="0"/>
          <w:noProof/>
          <w:sz w:val="22"/>
          <w:szCs w:val="22"/>
        </w:rPr>
      </w:r>
      <w:r w:rsidRPr="009D5635">
        <w:rPr>
          <w:rFonts w:ascii="Arial" w:hAnsi="Arial" w:cs="Arial"/>
          <w:b w:val="0"/>
          <w:noProof/>
          <w:sz w:val="22"/>
          <w:szCs w:val="22"/>
        </w:rPr>
        <w:fldChar w:fldCharType="separate"/>
      </w:r>
      <w:r w:rsidR="00B37559">
        <w:rPr>
          <w:rFonts w:ascii="Arial" w:hAnsi="Arial" w:cs="Arial"/>
          <w:b w:val="0"/>
          <w:noProof/>
          <w:sz w:val="22"/>
          <w:szCs w:val="22"/>
        </w:rPr>
        <w:t>4</w:t>
      </w:r>
      <w:r w:rsidRPr="009D5635">
        <w:rPr>
          <w:rFonts w:ascii="Arial" w:hAnsi="Arial" w:cs="Arial"/>
          <w:b w:val="0"/>
          <w:noProof/>
          <w:sz w:val="22"/>
          <w:szCs w:val="22"/>
        </w:rPr>
        <w:fldChar w:fldCharType="end"/>
      </w:r>
    </w:p>
    <w:p w14:paraId="729B9F2E" w14:textId="4F23050A" w:rsidR="009808A9" w:rsidRPr="009D5635" w:rsidRDefault="009808A9" w:rsidP="00C60135">
      <w:pPr>
        <w:pStyle w:val="14"/>
        <w:tabs>
          <w:tab w:val="right" w:leader="dot" w:pos="9627"/>
        </w:tabs>
        <w:spacing w:before="0" w:after="0" w:line="360" w:lineRule="auto"/>
        <w:rPr>
          <w:rFonts w:ascii="Arial" w:eastAsiaTheme="minorEastAsia" w:hAnsi="Arial" w:cs="Arial"/>
          <w:b w:val="0"/>
          <w:bCs w:val="0"/>
          <w:noProof/>
          <w:sz w:val="22"/>
          <w:szCs w:val="22"/>
          <w:lang w:eastAsia="ru-RU"/>
        </w:rPr>
      </w:pPr>
      <w:r w:rsidRPr="009D5635">
        <w:rPr>
          <w:rFonts w:ascii="Arial" w:hAnsi="Arial" w:cs="Arial"/>
          <w:b w:val="0"/>
          <w:noProof/>
          <w:sz w:val="22"/>
          <w:szCs w:val="22"/>
        </w:rPr>
        <w:t>ОПРЕДЕЛЕНИЯ</w:t>
      </w:r>
      <w:r w:rsidRPr="009D5635">
        <w:rPr>
          <w:rFonts w:ascii="Arial" w:hAnsi="Arial" w:cs="Arial"/>
          <w:b w:val="0"/>
          <w:noProof/>
          <w:sz w:val="22"/>
          <w:szCs w:val="22"/>
        </w:rPr>
        <w:tab/>
      </w:r>
      <w:r w:rsidRPr="009D5635">
        <w:rPr>
          <w:rFonts w:ascii="Arial" w:hAnsi="Arial" w:cs="Arial"/>
          <w:b w:val="0"/>
          <w:noProof/>
          <w:sz w:val="22"/>
          <w:szCs w:val="22"/>
        </w:rPr>
        <w:fldChar w:fldCharType="begin"/>
      </w:r>
      <w:r w:rsidRPr="009D5635">
        <w:rPr>
          <w:rFonts w:ascii="Arial" w:hAnsi="Arial" w:cs="Arial"/>
          <w:b w:val="0"/>
          <w:noProof/>
          <w:sz w:val="22"/>
          <w:szCs w:val="22"/>
        </w:rPr>
        <w:instrText xml:space="preserve"> PAGEREF _Toc133193089 \h </w:instrText>
      </w:r>
      <w:r w:rsidRPr="009D5635">
        <w:rPr>
          <w:rFonts w:ascii="Arial" w:hAnsi="Arial" w:cs="Arial"/>
          <w:b w:val="0"/>
          <w:noProof/>
          <w:sz w:val="22"/>
          <w:szCs w:val="22"/>
        </w:rPr>
      </w:r>
      <w:r w:rsidRPr="009D5635">
        <w:rPr>
          <w:rFonts w:ascii="Arial" w:hAnsi="Arial" w:cs="Arial"/>
          <w:b w:val="0"/>
          <w:noProof/>
          <w:sz w:val="22"/>
          <w:szCs w:val="22"/>
        </w:rPr>
        <w:fldChar w:fldCharType="separate"/>
      </w:r>
      <w:r w:rsidR="00B37559">
        <w:rPr>
          <w:rFonts w:ascii="Arial" w:hAnsi="Arial" w:cs="Arial"/>
          <w:b w:val="0"/>
          <w:noProof/>
          <w:sz w:val="22"/>
          <w:szCs w:val="22"/>
        </w:rPr>
        <w:t>5</w:t>
      </w:r>
      <w:r w:rsidRPr="009D5635">
        <w:rPr>
          <w:rFonts w:ascii="Arial" w:hAnsi="Arial" w:cs="Arial"/>
          <w:b w:val="0"/>
          <w:noProof/>
          <w:sz w:val="22"/>
          <w:szCs w:val="22"/>
        </w:rPr>
        <w:fldChar w:fldCharType="end"/>
      </w:r>
    </w:p>
    <w:p w14:paraId="57369F12" w14:textId="478D6335" w:rsidR="009808A9" w:rsidRPr="009D5635" w:rsidRDefault="009808A9" w:rsidP="00C60135">
      <w:pPr>
        <w:pStyle w:val="14"/>
        <w:tabs>
          <w:tab w:val="right" w:leader="dot" w:pos="9627"/>
        </w:tabs>
        <w:spacing w:before="0" w:after="0" w:line="360" w:lineRule="auto"/>
        <w:rPr>
          <w:rFonts w:ascii="Arial" w:eastAsiaTheme="minorEastAsia" w:hAnsi="Arial" w:cs="Arial"/>
          <w:b w:val="0"/>
          <w:bCs w:val="0"/>
          <w:noProof/>
          <w:sz w:val="22"/>
          <w:szCs w:val="22"/>
          <w:lang w:eastAsia="ru-RU"/>
        </w:rPr>
      </w:pPr>
      <w:r w:rsidRPr="009D5635">
        <w:rPr>
          <w:rFonts w:ascii="Arial" w:hAnsi="Arial" w:cs="Arial"/>
          <w:b w:val="0"/>
          <w:noProof/>
          <w:sz w:val="22"/>
          <w:szCs w:val="22"/>
        </w:rPr>
        <w:t>СОКРАЩЕНИЯ</w:t>
      </w:r>
      <w:r w:rsidRPr="009D5635">
        <w:rPr>
          <w:rFonts w:ascii="Arial" w:hAnsi="Arial" w:cs="Arial"/>
          <w:b w:val="0"/>
          <w:noProof/>
          <w:sz w:val="22"/>
          <w:szCs w:val="22"/>
        </w:rPr>
        <w:tab/>
      </w:r>
      <w:r w:rsidRPr="009D5635">
        <w:rPr>
          <w:rFonts w:ascii="Arial" w:hAnsi="Arial" w:cs="Arial"/>
          <w:b w:val="0"/>
          <w:noProof/>
          <w:sz w:val="22"/>
          <w:szCs w:val="22"/>
        </w:rPr>
        <w:fldChar w:fldCharType="begin"/>
      </w:r>
      <w:r w:rsidRPr="009D5635">
        <w:rPr>
          <w:rFonts w:ascii="Arial" w:hAnsi="Arial" w:cs="Arial"/>
          <w:b w:val="0"/>
          <w:noProof/>
          <w:sz w:val="22"/>
          <w:szCs w:val="22"/>
        </w:rPr>
        <w:instrText xml:space="preserve"> PAGEREF _Toc133193090 \h </w:instrText>
      </w:r>
      <w:r w:rsidRPr="009D5635">
        <w:rPr>
          <w:rFonts w:ascii="Arial" w:hAnsi="Arial" w:cs="Arial"/>
          <w:b w:val="0"/>
          <w:noProof/>
          <w:sz w:val="22"/>
          <w:szCs w:val="22"/>
        </w:rPr>
      </w:r>
      <w:r w:rsidRPr="009D5635">
        <w:rPr>
          <w:rFonts w:ascii="Arial" w:hAnsi="Arial" w:cs="Arial"/>
          <w:b w:val="0"/>
          <w:noProof/>
          <w:sz w:val="22"/>
          <w:szCs w:val="22"/>
        </w:rPr>
        <w:fldChar w:fldCharType="separate"/>
      </w:r>
      <w:r w:rsidR="00B37559">
        <w:rPr>
          <w:rFonts w:ascii="Arial" w:hAnsi="Arial" w:cs="Arial"/>
          <w:b w:val="0"/>
          <w:noProof/>
          <w:sz w:val="22"/>
          <w:szCs w:val="22"/>
        </w:rPr>
        <w:t>7</w:t>
      </w:r>
      <w:r w:rsidRPr="009D5635">
        <w:rPr>
          <w:rFonts w:ascii="Arial" w:hAnsi="Arial" w:cs="Arial"/>
          <w:b w:val="0"/>
          <w:noProof/>
          <w:sz w:val="22"/>
          <w:szCs w:val="22"/>
        </w:rPr>
        <w:fldChar w:fldCharType="end"/>
      </w:r>
    </w:p>
    <w:p w14:paraId="65815D03" w14:textId="7663B2AC" w:rsidR="009808A9" w:rsidRPr="009D5635" w:rsidRDefault="009808A9" w:rsidP="00C60135">
      <w:pPr>
        <w:pStyle w:val="14"/>
        <w:tabs>
          <w:tab w:val="right" w:leader="dot" w:pos="9627"/>
        </w:tabs>
        <w:spacing w:before="0" w:after="0" w:line="360" w:lineRule="auto"/>
        <w:rPr>
          <w:rFonts w:ascii="Arial" w:eastAsiaTheme="minorEastAsia" w:hAnsi="Arial" w:cs="Arial"/>
          <w:b w:val="0"/>
          <w:bCs w:val="0"/>
          <w:noProof/>
          <w:sz w:val="22"/>
          <w:szCs w:val="22"/>
          <w:lang w:eastAsia="ru-RU"/>
        </w:rPr>
      </w:pPr>
      <w:r w:rsidRPr="009D5635">
        <w:rPr>
          <w:rFonts w:ascii="Arial" w:hAnsi="Arial" w:cs="Arial"/>
          <w:b w:val="0"/>
          <w:noProof/>
          <w:sz w:val="22"/>
          <w:szCs w:val="22"/>
        </w:rPr>
        <w:t>Раздел 1. Перечень всех замечаний и предложений, поступивших  при разработке, утверждении и актуализации схемы теплоснабжения</w:t>
      </w:r>
      <w:r w:rsidRPr="009D5635">
        <w:rPr>
          <w:rFonts w:ascii="Arial" w:hAnsi="Arial" w:cs="Arial"/>
          <w:b w:val="0"/>
          <w:noProof/>
          <w:sz w:val="22"/>
          <w:szCs w:val="22"/>
        </w:rPr>
        <w:tab/>
      </w:r>
      <w:r w:rsidRPr="009D5635">
        <w:rPr>
          <w:rFonts w:ascii="Arial" w:hAnsi="Arial" w:cs="Arial"/>
          <w:b w:val="0"/>
          <w:noProof/>
          <w:sz w:val="22"/>
          <w:szCs w:val="22"/>
        </w:rPr>
        <w:fldChar w:fldCharType="begin"/>
      </w:r>
      <w:r w:rsidRPr="009D5635">
        <w:rPr>
          <w:rFonts w:ascii="Arial" w:hAnsi="Arial" w:cs="Arial"/>
          <w:b w:val="0"/>
          <w:noProof/>
          <w:sz w:val="22"/>
          <w:szCs w:val="22"/>
        </w:rPr>
        <w:instrText xml:space="preserve"> PAGEREF _Toc133193091 \h </w:instrText>
      </w:r>
      <w:r w:rsidRPr="009D5635">
        <w:rPr>
          <w:rFonts w:ascii="Arial" w:hAnsi="Arial" w:cs="Arial"/>
          <w:b w:val="0"/>
          <w:noProof/>
          <w:sz w:val="22"/>
          <w:szCs w:val="22"/>
        </w:rPr>
      </w:r>
      <w:r w:rsidRPr="009D5635">
        <w:rPr>
          <w:rFonts w:ascii="Arial" w:hAnsi="Arial" w:cs="Arial"/>
          <w:b w:val="0"/>
          <w:noProof/>
          <w:sz w:val="22"/>
          <w:szCs w:val="22"/>
        </w:rPr>
        <w:fldChar w:fldCharType="separate"/>
      </w:r>
      <w:r w:rsidR="00B37559">
        <w:rPr>
          <w:rFonts w:ascii="Arial" w:hAnsi="Arial" w:cs="Arial"/>
          <w:b w:val="0"/>
          <w:noProof/>
          <w:sz w:val="22"/>
          <w:szCs w:val="22"/>
        </w:rPr>
        <w:t>8</w:t>
      </w:r>
      <w:r w:rsidRPr="009D5635">
        <w:rPr>
          <w:rFonts w:ascii="Arial" w:hAnsi="Arial" w:cs="Arial"/>
          <w:b w:val="0"/>
          <w:noProof/>
          <w:sz w:val="22"/>
          <w:szCs w:val="22"/>
        </w:rPr>
        <w:fldChar w:fldCharType="end"/>
      </w:r>
    </w:p>
    <w:p w14:paraId="5AF21B97" w14:textId="6E76A236" w:rsidR="006A2AFE" w:rsidRPr="009D5635" w:rsidRDefault="00046A08" w:rsidP="00C60135">
      <w:pPr>
        <w:pStyle w:val="a9"/>
        <w:ind w:right="0"/>
        <w:jc w:val="left"/>
        <w:rPr>
          <w:rFonts w:ascii="Arial" w:hAnsi="Arial" w:cs="Arial"/>
        </w:rPr>
      </w:pPr>
      <w:r w:rsidRPr="009D5635">
        <w:rPr>
          <w:rFonts w:ascii="Arial" w:hAnsi="Arial" w:cs="Arial"/>
          <w:bCs/>
          <w:sz w:val="22"/>
          <w:szCs w:val="22"/>
        </w:rPr>
        <w:fldChar w:fldCharType="end"/>
      </w:r>
    </w:p>
    <w:p w14:paraId="203974C8" w14:textId="77777777" w:rsidR="006A2AFE" w:rsidRPr="009D5635" w:rsidRDefault="006A2AFE" w:rsidP="00C60135">
      <w:pPr>
        <w:spacing w:line="360" w:lineRule="auto"/>
        <w:ind w:firstLine="709"/>
        <w:rPr>
          <w:rFonts w:ascii="Arial" w:hAnsi="Arial" w:cs="Arial"/>
        </w:rPr>
      </w:pPr>
      <w:r w:rsidRPr="009D5635">
        <w:rPr>
          <w:rFonts w:ascii="Arial" w:hAnsi="Arial" w:cs="Arial"/>
        </w:rPr>
        <w:br w:type="page"/>
      </w:r>
    </w:p>
    <w:p w14:paraId="01C48C06" w14:textId="77777777" w:rsidR="00D218C4" w:rsidRPr="009D5635" w:rsidRDefault="00D218C4" w:rsidP="00C60135">
      <w:pPr>
        <w:pStyle w:val="10"/>
        <w:numPr>
          <w:ilvl w:val="0"/>
          <w:numId w:val="0"/>
        </w:numPr>
      </w:pPr>
      <w:bookmarkStart w:id="6" w:name="_Toc85995381"/>
      <w:bookmarkStart w:id="7" w:name="_Toc478462862"/>
      <w:bookmarkStart w:id="8" w:name="_Toc133193089"/>
      <w:r w:rsidRPr="009D5635">
        <w:lastRenderedPageBreak/>
        <w:t>ОПРЕДЕЛЕНИЯ</w:t>
      </w:r>
      <w:bookmarkEnd w:id="6"/>
      <w:bookmarkEnd w:id="7"/>
      <w:bookmarkEnd w:id="8"/>
    </w:p>
    <w:p w14:paraId="01C48C07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В настоящей главе применяют следующие термины с соответствующими определениями.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42"/>
        <w:gridCol w:w="7151"/>
      </w:tblGrid>
      <w:tr w:rsidR="00C60135" w:rsidRPr="009D5635" w14:paraId="01C48C0A" w14:textId="77777777" w:rsidTr="003A42E8">
        <w:trPr>
          <w:trHeight w:val="20"/>
          <w:tblHeader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08" w14:textId="77777777" w:rsidR="00D218C4" w:rsidRPr="009D5635" w:rsidRDefault="00D218C4" w:rsidP="00C60135">
            <w:pPr>
              <w:pStyle w:val="103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Термины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09" w14:textId="77777777" w:rsidR="00D218C4" w:rsidRPr="009D5635" w:rsidRDefault="00D218C4" w:rsidP="00C60135">
            <w:pPr>
              <w:pStyle w:val="103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Определения</w:t>
            </w:r>
          </w:p>
        </w:tc>
      </w:tr>
      <w:tr w:rsidR="00C60135" w:rsidRPr="009D5635" w14:paraId="01C48C0D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0B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Теплоснабжение 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0C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Обеспечение потребителей тепловой энергии тепловой энергией, теплоносителем, в том числе поддержание мощности. </w:t>
            </w:r>
          </w:p>
        </w:tc>
      </w:tr>
      <w:tr w:rsidR="00C60135" w:rsidRPr="009D5635" w14:paraId="01C48C10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0E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Система теплоснабжения 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0F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Совокупность источников тепловой энергии и теплопотребляющих установок, технологически соединенных тепловыми сетями. </w:t>
            </w:r>
          </w:p>
        </w:tc>
      </w:tr>
      <w:tr w:rsidR="00C60135" w:rsidRPr="009D5635" w14:paraId="01C48C13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11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Схема теплоснабжения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12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Документ, содержащий предпроектные материалы по обоснованию эффективного 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эффективности</w:t>
            </w:r>
          </w:p>
        </w:tc>
      </w:tr>
      <w:tr w:rsidR="00C60135" w:rsidRPr="009D5635" w14:paraId="01C48C16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14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Источник тепловой энергии 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15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Устройство, предназначенное для производства тепловой энергии</w:t>
            </w:r>
          </w:p>
        </w:tc>
      </w:tr>
      <w:tr w:rsidR="00C60135" w:rsidRPr="009D5635" w14:paraId="01C48C19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17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Тепловая сеть 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18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</w:t>
            </w:r>
            <w:r w:rsidR="00DB22F8" w:rsidRPr="009D5635">
              <w:rPr>
                <w:rFonts w:ascii="Arial" w:hAnsi="Arial" w:cs="Arial"/>
              </w:rPr>
              <w:t>ловой энергии до теплопотребляю</w:t>
            </w:r>
            <w:r w:rsidRPr="009D5635">
              <w:rPr>
                <w:rFonts w:ascii="Arial" w:hAnsi="Arial" w:cs="Arial"/>
              </w:rPr>
              <w:t xml:space="preserve">щих установок. </w:t>
            </w:r>
          </w:p>
        </w:tc>
      </w:tr>
      <w:tr w:rsidR="00C60135" w:rsidRPr="009D5635" w14:paraId="01C48C1C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1A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Потребитель топлива (далее потребитель)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1B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Лицо, приобретающее топливо для использования на, принадлежащих ему на праве собственности или ином законном основании, топливопотребляющих установках </w:t>
            </w:r>
          </w:p>
        </w:tc>
      </w:tr>
      <w:tr w:rsidR="00C60135" w:rsidRPr="009D5635" w14:paraId="01C48C1F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1D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Теплоснабжающая организация 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1E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предпринимателей). </w:t>
            </w:r>
          </w:p>
        </w:tc>
      </w:tr>
      <w:tr w:rsidR="00C60135" w:rsidRPr="009D5635" w14:paraId="01C48C22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20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Теплосетевая организация 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21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предпринимателей). </w:t>
            </w:r>
          </w:p>
        </w:tc>
      </w:tr>
      <w:tr w:rsidR="00C60135" w:rsidRPr="009D5635" w14:paraId="01C48C25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23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Зона действия системы теплоснабжения 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24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Территория городского округа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теплоснабжения. </w:t>
            </w:r>
          </w:p>
        </w:tc>
      </w:tr>
      <w:tr w:rsidR="00C60135" w:rsidRPr="009D5635" w14:paraId="01C48C28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26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Котельно-печное топливо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27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Любое топливо, которое используется организацией, кроме моторного топлива</w:t>
            </w:r>
          </w:p>
        </w:tc>
      </w:tr>
      <w:tr w:rsidR="00C60135" w:rsidRPr="009D5635" w14:paraId="01C48C2B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29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Коэффициент использования тепла топлива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2A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Коэффициент,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</w:t>
            </w:r>
          </w:p>
        </w:tc>
      </w:tr>
      <w:tr w:rsidR="00C60135" w:rsidRPr="009D5635" w14:paraId="01C48C2E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2C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Установленная мощность источника тепловой энергии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2D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Сумма номинальных тепловых мощностей всего принятого по акту ввода в эксплуатацию оборудования, предназначенного для отпуска тепловой энергии потребителям на собственные и хозяйственные нужды</w:t>
            </w:r>
          </w:p>
        </w:tc>
      </w:tr>
      <w:tr w:rsidR="00C60135" w:rsidRPr="009D5635" w14:paraId="01C48C31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2F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Располагаемая мощность источника тепловой энергии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30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Величина, равная установленной мощности источника тепловой энергии за 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C60135" w:rsidRPr="009D5635" w14:paraId="01C48C34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32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Мощность источника тепловой энергии нетто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33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</w:t>
            </w:r>
          </w:p>
        </w:tc>
      </w:tr>
      <w:tr w:rsidR="00C60135" w:rsidRPr="009D5635" w14:paraId="01C48C37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35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Топливно-энергетический баланс 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36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Документ,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</w:t>
            </w:r>
            <w:r w:rsidRPr="009D5635">
              <w:rPr>
                <w:rFonts w:ascii="Arial" w:hAnsi="Arial" w:cs="Arial"/>
              </w:rPr>
              <w:lastRenderedPageBreak/>
              <w:t>потребления, устанавливающий распределение энергетических ресурсов между системами теплоснабжения, потребителями, группами потребителей и позволяющий определить эффективность использования энергетических ресурсов</w:t>
            </w:r>
          </w:p>
        </w:tc>
      </w:tr>
      <w:tr w:rsidR="00C60135" w:rsidRPr="009D5635" w14:paraId="01C48C3A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38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lastRenderedPageBreak/>
              <w:t xml:space="preserve">Комбинированная выработка электрической и тепловой энергии 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39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Режим работы теплоэлектростанций, при котором производство электрической энергии непосредственно связано с одновременным производством тепловой энергии</w:t>
            </w:r>
          </w:p>
        </w:tc>
      </w:tr>
      <w:tr w:rsidR="00C60135" w:rsidRPr="009D5635" w14:paraId="01C48C3D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3B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Неснижаемый нормативный запас топлива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3C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Запас топлива, создаваемый на электростанциях и котельных организаций электроэнергетики для поддержания плюсовых температур в главном корпусе, вспомогательных зданиях и сооружениях в режиме "выживания" с минимальной расчетной электрической и тепловой нагрузкой по условиям самого холодного месяца года</w:t>
            </w:r>
          </w:p>
        </w:tc>
      </w:tr>
      <w:tr w:rsidR="00C60135" w:rsidRPr="009D5635" w14:paraId="01C48C40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3E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Нормативный эксплуатационный запас топлива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3F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Запас топлива, необходимый для надежной и стабильной работы электростанций и котельных, обеспечивающий плановую выработку электрической и (или) тепловой энергии</w:t>
            </w:r>
          </w:p>
        </w:tc>
      </w:tr>
      <w:tr w:rsidR="00C60135" w:rsidRPr="009D5635" w14:paraId="01C48C43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41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Общий нормативный запас основного и резервного видов топлива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42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Общий нормативный запас основного и резервного видов топлива, определяемый по сумме объемов неснижаемого нормативного запаса топлива и нормативного эксплуатационного запаса топлива</w:t>
            </w:r>
          </w:p>
        </w:tc>
      </w:tr>
      <w:tr w:rsidR="00C60135" w:rsidRPr="009D5635" w14:paraId="01C48C46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44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Условное топливо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45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Принятая при расчетах единица учета органического топлива, которая используется для счисления полезного действия различных видов топлива в их суммарном учете </w:t>
            </w:r>
          </w:p>
        </w:tc>
      </w:tr>
      <w:tr w:rsidR="00C60135" w:rsidRPr="009D5635" w14:paraId="01C48C49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47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Энергетический ресурс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48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>Носитель энергии, энергия которого используется или может быть использована при осуществлении хозяйственной и иной деятельности, а также вид энергии (атомная, тепловая, электрическая, электромагнитная энергия или другой вид энергии)</w:t>
            </w:r>
          </w:p>
        </w:tc>
      </w:tr>
      <w:tr w:rsidR="00C60135" w:rsidRPr="009D5635" w14:paraId="01C48C4C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4A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Элемент территориального деления 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4B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Территория городского округа или ее часть, установленная по границам административно-территориальных единиц. </w:t>
            </w:r>
          </w:p>
        </w:tc>
      </w:tr>
      <w:tr w:rsidR="00C60135" w:rsidRPr="009D5635" w14:paraId="01C48C4F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4D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Расчетный элемент территориального деления 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4E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Территория городского округа или ее часть, принятая для целей разработки схемы теплоснабжения в неизменяемых границах на весь срок действия схемы теплоснабжения. </w:t>
            </w:r>
          </w:p>
        </w:tc>
      </w:tr>
      <w:tr w:rsidR="00C60135" w:rsidRPr="009D5635" w14:paraId="01C48C52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50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Технологическая зона 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51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Единица укрупненного деления территории города по зонально-технологическому принципу, объединяющая несколько тепловых районов или совпадающая с границами теплового района. </w:t>
            </w:r>
          </w:p>
        </w:tc>
      </w:tr>
      <w:tr w:rsidR="00C60135" w:rsidRPr="009D5635" w14:paraId="01C48C55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53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Тепловой район 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54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Единица территориального деления, в границах которой осуществляются технологические процессы производства, передачи и потребления тепловой энергии. </w:t>
            </w:r>
          </w:p>
        </w:tc>
      </w:tr>
      <w:tr w:rsidR="009D5635" w:rsidRPr="009D5635" w14:paraId="01C48C58" w14:textId="77777777" w:rsidTr="003A42E8">
        <w:trPr>
          <w:trHeight w:val="20"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56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Централизованное теплоснабжение </w:t>
            </w:r>
          </w:p>
        </w:tc>
        <w:tc>
          <w:tcPr>
            <w:tcW w:w="3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8C57" w14:textId="77777777" w:rsidR="00D218C4" w:rsidRPr="009D5635" w:rsidRDefault="00D218C4" w:rsidP="00C60135">
            <w:pPr>
              <w:pStyle w:val="101"/>
              <w:rPr>
                <w:rFonts w:ascii="Arial" w:hAnsi="Arial" w:cs="Arial"/>
              </w:rPr>
            </w:pPr>
            <w:r w:rsidRPr="009D5635">
              <w:rPr>
                <w:rFonts w:ascii="Arial" w:hAnsi="Arial" w:cs="Arial"/>
              </w:rPr>
              <w:t xml:space="preserve">Теплоснабжение потребителей от источников тепла через общую тепловую сеть. </w:t>
            </w:r>
          </w:p>
        </w:tc>
      </w:tr>
    </w:tbl>
    <w:p w14:paraId="01C48C59" w14:textId="77777777" w:rsidR="00D218C4" w:rsidRPr="009D5635" w:rsidRDefault="00D218C4" w:rsidP="00C60135">
      <w:pPr>
        <w:pStyle w:val="a6"/>
        <w:rPr>
          <w:rFonts w:ascii="Arial" w:hAnsi="Arial" w:cs="Arial"/>
        </w:rPr>
      </w:pPr>
    </w:p>
    <w:p w14:paraId="01C48C5A" w14:textId="77777777" w:rsidR="00D218C4" w:rsidRPr="009D5635" w:rsidRDefault="00D218C4" w:rsidP="00C60135">
      <w:pPr>
        <w:rPr>
          <w:rFonts w:ascii="Arial" w:hAnsi="Arial" w:cs="Arial"/>
        </w:rPr>
      </w:pPr>
      <w:r w:rsidRPr="009D5635">
        <w:rPr>
          <w:rFonts w:ascii="Arial" w:hAnsi="Arial" w:cs="Arial"/>
        </w:rPr>
        <w:br w:type="page"/>
      </w:r>
    </w:p>
    <w:p w14:paraId="01C48C5B" w14:textId="77777777" w:rsidR="00D218C4" w:rsidRPr="009D5635" w:rsidRDefault="00D218C4" w:rsidP="00C60135">
      <w:pPr>
        <w:pStyle w:val="10"/>
        <w:numPr>
          <w:ilvl w:val="0"/>
          <w:numId w:val="0"/>
        </w:numPr>
      </w:pPr>
      <w:bookmarkStart w:id="9" w:name="_Toc85995382"/>
      <w:bookmarkStart w:id="10" w:name="_Toc478462863"/>
      <w:bookmarkStart w:id="11" w:name="_Toc133193090"/>
      <w:r w:rsidRPr="009D5635">
        <w:lastRenderedPageBreak/>
        <w:t>СОКРАЩЕНИЯ</w:t>
      </w:r>
      <w:bookmarkEnd w:id="9"/>
      <w:bookmarkEnd w:id="10"/>
      <w:bookmarkEnd w:id="11"/>
    </w:p>
    <w:p w14:paraId="01C48C5C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В настоящей главе применяют следующие сокращения:</w:t>
      </w:r>
    </w:p>
    <w:p w14:paraId="01C48C5D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 xml:space="preserve">ВК – водогрейный котел; </w:t>
      </w:r>
    </w:p>
    <w:p w14:paraId="01C48C5E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 xml:space="preserve">ПВК – пиковая водогрейная котельная; </w:t>
      </w:r>
    </w:p>
    <w:p w14:paraId="01C48C5F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 xml:space="preserve">ПГУ – парогазовая установка; </w:t>
      </w:r>
    </w:p>
    <w:p w14:paraId="01C48C60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 xml:space="preserve">ПСГ, ПСВ – подогреватель сетевой воды; </w:t>
      </w:r>
    </w:p>
    <w:p w14:paraId="01C48C61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 xml:space="preserve">РОУ – редукционно-охладительная установка; </w:t>
      </w:r>
    </w:p>
    <w:p w14:paraId="01C48C62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 xml:space="preserve">РСО – ресурсоснабжающая организация; </w:t>
      </w:r>
    </w:p>
    <w:p w14:paraId="01C48C63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СН – собственные нужды;</w:t>
      </w:r>
    </w:p>
    <w:p w14:paraId="01C48C64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ХН – хозяйственные нужды;</w:t>
      </w:r>
    </w:p>
    <w:p w14:paraId="01C48C65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 xml:space="preserve">ТСЖ – товарищество собственников жилья; </w:t>
      </w:r>
    </w:p>
    <w:p w14:paraId="01C48C66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 xml:space="preserve">ТСО – теплоснабжающая организация; </w:t>
      </w:r>
    </w:p>
    <w:p w14:paraId="01C48C67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 xml:space="preserve">ТС – тепловые сети; </w:t>
      </w:r>
    </w:p>
    <w:p w14:paraId="01C48C68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 xml:space="preserve">ТФУ – теплофикационная установка; </w:t>
      </w:r>
    </w:p>
    <w:p w14:paraId="01C48C69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 xml:space="preserve">ТЭ – тепловая энергия; </w:t>
      </w:r>
    </w:p>
    <w:p w14:paraId="01C48C6A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 xml:space="preserve">ТЭК – топливно-энергетический комплекс; </w:t>
      </w:r>
    </w:p>
    <w:p w14:paraId="01C48C6B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ГВС – горячее водоснабжение;</w:t>
      </w:r>
    </w:p>
    <w:p w14:paraId="01C48C6C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 xml:space="preserve">ЕТО – единая теплоснабжающая организация; </w:t>
      </w:r>
    </w:p>
    <w:p w14:paraId="01C48C6D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 xml:space="preserve">ЖСК – жилищно-строительный кооператив; </w:t>
      </w:r>
    </w:p>
    <w:p w14:paraId="01C48C6E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 xml:space="preserve">ОИЭК – организации инженерно-энергетического комплекса; </w:t>
      </w:r>
    </w:p>
    <w:p w14:paraId="01C48C6F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МУП – муниципальное унитарное предприятие;</w:t>
      </w:r>
    </w:p>
    <w:p w14:paraId="01C48C70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ЕГСТ – единая газотранспортная система;</w:t>
      </w:r>
    </w:p>
    <w:p w14:paraId="01C48C71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КС – компрессорная станция;</w:t>
      </w:r>
    </w:p>
    <w:p w14:paraId="01C48C72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МГ – магистральный газопровод;</w:t>
      </w:r>
    </w:p>
    <w:p w14:paraId="01C48C73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АО – акционерное общество;</w:t>
      </w:r>
    </w:p>
    <w:p w14:paraId="01C48C74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ОЗНТ – общий нормативный запас основного и резервного видов топлива;</w:t>
      </w:r>
    </w:p>
    <w:p w14:paraId="01C48C75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ООО – общество с ограниченной ответственностью;</w:t>
      </w:r>
    </w:p>
    <w:p w14:paraId="01C48C76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ННЗТ – неснижаемый нормативный запас топлива;</w:t>
      </w:r>
    </w:p>
    <w:p w14:paraId="01C48C77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НЭЗТ – нормативный эксплуатационный запас топлива;</w:t>
      </w:r>
    </w:p>
    <w:p w14:paraId="01C48C78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ПХГ – подземное хранилище газа;</w:t>
      </w:r>
    </w:p>
    <w:p w14:paraId="01C48C79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РТХ – резервное топливное хозяйство;</w:t>
      </w:r>
    </w:p>
    <w:p w14:paraId="01C48C7A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ТЭБ - топливно-энергетический баланс;</w:t>
      </w:r>
    </w:p>
    <w:p w14:paraId="01C48C7B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ТЭР – топливно-энергетические ресурсы;</w:t>
      </w:r>
    </w:p>
    <w:p w14:paraId="01C48C7C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ТЭС – тепловая электростанция;</w:t>
      </w:r>
    </w:p>
    <w:p w14:paraId="01C48C7D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ТЭЦ – теплоэлектроцентраль;</w:t>
      </w:r>
    </w:p>
    <w:p w14:paraId="01C48C7E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УРУТ – удельный расход условного топлива;</w:t>
      </w:r>
    </w:p>
    <w:p w14:paraId="01C48C80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ЭС – электростанция;</w:t>
      </w:r>
    </w:p>
    <w:p w14:paraId="01C48C81" w14:textId="77777777" w:rsidR="00D218C4" w:rsidRPr="009D5635" w:rsidRDefault="00D218C4" w:rsidP="00C60135">
      <w:pPr>
        <w:pStyle w:val="afff3"/>
        <w:rPr>
          <w:color w:val="auto"/>
        </w:rPr>
      </w:pPr>
      <w:r w:rsidRPr="009D5635">
        <w:rPr>
          <w:color w:val="auto"/>
        </w:rPr>
        <w:t>ЭЭ – электрическая энергия;</w:t>
      </w:r>
    </w:p>
    <w:p w14:paraId="01C48C84" w14:textId="77777777" w:rsidR="00C92AD8" w:rsidRPr="009D5635" w:rsidRDefault="001F77AB" w:rsidP="00C60135">
      <w:pPr>
        <w:pStyle w:val="afff3"/>
        <w:rPr>
          <w:b/>
          <w:color w:val="auto"/>
          <w:sz w:val="28"/>
        </w:rPr>
      </w:pPr>
      <w:bookmarkStart w:id="12" w:name="_Toc511389467"/>
      <w:r w:rsidRPr="009D5635">
        <w:rPr>
          <w:color w:val="auto"/>
        </w:rPr>
        <w:br w:type="page"/>
      </w:r>
      <w:bookmarkStart w:id="13" w:name="_Toc511389468"/>
      <w:bookmarkEnd w:id="12"/>
    </w:p>
    <w:p w14:paraId="01C48C87" w14:textId="5DFF7BDB" w:rsidR="00FD20DA" w:rsidRPr="009D5635" w:rsidRDefault="009808A9" w:rsidP="00C60135">
      <w:pPr>
        <w:pStyle w:val="10"/>
      </w:pPr>
      <w:bookmarkStart w:id="14" w:name="_Toc133193091"/>
      <w:bookmarkEnd w:id="13"/>
      <w:r w:rsidRPr="009D5635">
        <w:lastRenderedPageBreak/>
        <w:t xml:space="preserve">Перечень всех замечаний и предложений, поступивших </w:t>
      </w:r>
      <w:r w:rsidRPr="009D5635">
        <w:br/>
        <w:t>при разработке, утверждении и актуализации схемы теплоснабжения</w:t>
      </w:r>
      <w:bookmarkEnd w:id="14"/>
    </w:p>
    <w:p w14:paraId="39F83753" w14:textId="77777777" w:rsidR="00B37559" w:rsidRPr="00B37559" w:rsidRDefault="00C60135" w:rsidP="00B37559">
      <w:pPr>
        <w:pStyle w:val="afff3"/>
        <w:rPr>
          <w:rStyle w:val="afff"/>
        </w:rPr>
        <w:sectPr w:rsidR="00B37559" w:rsidRPr="00B37559" w:rsidSect="009808A9">
          <w:footerReference w:type="default" r:id="rId10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  <w:r w:rsidRPr="009D5635">
        <w:rPr>
          <w:color w:val="auto"/>
        </w:rPr>
        <w:t>Информация по учету замечаний и предложений от Управления энергетики и тарифов Липецкой области в актуализированной схеме теплоснабжения приведены в таблиц</w:t>
      </w:r>
      <w:r w:rsidR="00424216">
        <w:rPr>
          <w:color w:val="auto"/>
        </w:rPr>
        <w:t>е</w:t>
      </w:r>
      <w:r w:rsidRPr="009D5635">
        <w:rPr>
          <w:color w:val="auto"/>
        </w:rPr>
        <w:fldChar w:fldCharType="begin"/>
      </w:r>
      <w:r w:rsidRPr="009D5635">
        <w:rPr>
          <w:color w:val="auto"/>
        </w:rPr>
        <w:instrText xml:space="preserve"> REF _Ref141195031 \h  \* MERGEFORMAT </w:instrText>
      </w:r>
      <w:r w:rsidRPr="009D5635">
        <w:rPr>
          <w:color w:val="auto"/>
        </w:rPr>
      </w:r>
      <w:r w:rsidRPr="009D5635">
        <w:rPr>
          <w:color w:val="auto"/>
        </w:rPr>
        <w:fldChar w:fldCharType="separate"/>
      </w:r>
    </w:p>
    <w:p w14:paraId="30CD08D6" w14:textId="424101FA" w:rsidR="00424216" w:rsidRDefault="00B37559" w:rsidP="00424216">
      <w:pPr>
        <w:pStyle w:val="afff3"/>
        <w:rPr>
          <w:color w:val="auto"/>
        </w:rPr>
      </w:pPr>
      <w:r w:rsidRPr="00B37559">
        <w:rPr>
          <w:noProof/>
          <w:color w:val="auto"/>
        </w:rPr>
        <w:t>Таблица</w:t>
      </w:r>
      <w:r w:rsidRPr="009D5635">
        <w:rPr>
          <w:noProof/>
        </w:rPr>
        <w:t xml:space="preserve"> </w:t>
      </w:r>
      <w:r>
        <w:rPr>
          <w:noProof/>
        </w:rPr>
        <w:t>1</w:t>
      </w:r>
      <w:r w:rsidR="00C60135" w:rsidRPr="009D5635">
        <w:rPr>
          <w:color w:val="auto"/>
        </w:rPr>
        <w:fldChar w:fldCharType="end"/>
      </w:r>
      <w:r w:rsidR="00C60135" w:rsidRPr="009D5635">
        <w:rPr>
          <w:color w:val="auto"/>
        </w:rPr>
        <w:t>.</w:t>
      </w:r>
    </w:p>
    <w:p w14:paraId="096BD565" w14:textId="0D4BF4BB" w:rsidR="009D5635" w:rsidRPr="009D5635" w:rsidRDefault="009D5635" w:rsidP="00424216">
      <w:pPr>
        <w:pStyle w:val="afff3"/>
        <w:rPr>
          <w:color w:val="auto"/>
        </w:rPr>
      </w:pPr>
      <w:r w:rsidRPr="009D5635">
        <w:rPr>
          <w:color w:val="auto"/>
        </w:rPr>
        <w:t xml:space="preserve">Информация по учету замечаний и предложений от </w:t>
      </w:r>
      <w:r>
        <w:rPr>
          <w:color w:val="auto"/>
        </w:rPr>
        <w:t>АО «Квадра»</w:t>
      </w:r>
      <w:r w:rsidRPr="009D5635">
        <w:rPr>
          <w:color w:val="auto"/>
        </w:rPr>
        <w:t xml:space="preserve"> в актуализированной схеме теплоснабжения приведены в таблице</w:t>
      </w:r>
      <w:r w:rsidR="00991F1F">
        <w:rPr>
          <w:color w:val="auto"/>
        </w:rPr>
        <w:t xml:space="preserve"> </w:t>
      </w:r>
      <w:r w:rsidR="00991F1F">
        <w:rPr>
          <w:color w:val="auto"/>
        </w:rPr>
        <w:fldChar w:fldCharType="begin"/>
      </w:r>
      <w:r w:rsidR="00991F1F">
        <w:rPr>
          <w:color w:val="auto"/>
        </w:rPr>
        <w:instrText xml:space="preserve"> REF _Ref143018840 \h  \* MERGEFORMAT </w:instrText>
      </w:r>
      <w:r w:rsidR="00991F1F">
        <w:rPr>
          <w:color w:val="auto"/>
        </w:rPr>
      </w:r>
      <w:r w:rsidR="00991F1F">
        <w:rPr>
          <w:color w:val="auto"/>
        </w:rPr>
        <w:fldChar w:fldCharType="separate"/>
      </w:r>
      <w:r w:rsidR="00B37559" w:rsidRPr="00B37559">
        <w:rPr>
          <w:rStyle w:val="afff"/>
        </w:rPr>
        <w:t xml:space="preserve">Таблица </w:t>
      </w:r>
      <w:r w:rsidR="00B37559">
        <w:rPr>
          <w:noProof/>
        </w:rPr>
        <w:t>2</w:t>
      </w:r>
      <w:r w:rsidR="00991F1F">
        <w:rPr>
          <w:color w:val="auto"/>
        </w:rPr>
        <w:fldChar w:fldCharType="end"/>
      </w:r>
      <w:r w:rsidRPr="009D5635">
        <w:rPr>
          <w:color w:val="auto"/>
        </w:rPr>
        <w:t>.</w:t>
      </w:r>
    </w:p>
    <w:p w14:paraId="58CD5E37" w14:textId="29F920FD" w:rsidR="00991F1F" w:rsidRPr="009D5635" w:rsidRDefault="00991F1F" w:rsidP="00991F1F">
      <w:pPr>
        <w:pStyle w:val="afff3"/>
        <w:rPr>
          <w:color w:val="auto"/>
        </w:rPr>
      </w:pPr>
      <w:r w:rsidRPr="009D5635">
        <w:rPr>
          <w:color w:val="auto"/>
        </w:rPr>
        <w:t xml:space="preserve">Информация по учету замечаний и предложений от </w:t>
      </w:r>
      <w:r>
        <w:rPr>
          <w:color w:val="auto"/>
        </w:rPr>
        <w:t>МУП «</w:t>
      </w:r>
      <w:proofErr w:type="spellStart"/>
      <w:r>
        <w:rPr>
          <w:color w:val="auto"/>
        </w:rPr>
        <w:t>Липецктеплосеть</w:t>
      </w:r>
      <w:proofErr w:type="spellEnd"/>
      <w:r>
        <w:rPr>
          <w:color w:val="auto"/>
        </w:rPr>
        <w:t>»</w:t>
      </w:r>
      <w:r w:rsidRPr="009D5635">
        <w:rPr>
          <w:color w:val="auto"/>
        </w:rPr>
        <w:t xml:space="preserve"> в актуализированной схеме теплоснабжения приведены в таблице</w:t>
      </w:r>
      <w:r>
        <w:rPr>
          <w:color w:val="auto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REF _Ref143018846 \h  \* MERGEFORMAT </w:instrText>
      </w:r>
      <w:r>
        <w:rPr>
          <w:color w:val="auto"/>
        </w:rPr>
      </w:r>
      <w:r>
        <w:rPr>
          <w:color w:val="auto"/>
        </w:rPr>
        <w:fldChar w:fldCharType="separate"/>
      </w:r>
      <w:r w:rsidR="00B37559" w:rsidRPr="00B37559">
        <w:rPr>
          <w:rStyle w:val="afff"/>
        </w:rPr>
        <w:t xml:space="preserve">Таблица </w:t>
      </w:r>
      <w:r w:rsidR="00B37559">
        <w:rPr>
          <w:noProof/>
        </w:rPr>
        <w:t>3</w:t>
      </w:r>
      <w:r>
        <w:rPr>
          <w:color w:val="auto"/>
        </w:rPr>
        <w:fldChar w:fldCharType="end"/>
      </w:r>
      <w:r w:rsidRPr="009D5635">
        <w:rPr>
          <w:color w:val="auto"/>
        </w:rPr>
        <w:t>.</w:t>
      </w:r>
    </w:p>
    <w:p w14:paraId="4B9DEDF7" w14:textId="77777777" w:rsidR="00C60135" w:rsidRPr="009D5635" w:rsidRDefault="00C60135" w:rsidP="00C60135">
      <w:pPr>
        <w:pStyle w:val="afff3"/>
        <w:rPr>
          <w:color w:val="auto"/>
        </w:rPr>
      </w:pPr>
    </w:p>
    <w:p w14:paraId="5B1FF72E" w14:textId="77777777" w:rsidR="00C60135" w:rsidRPr="009D5635" w:rsidRDefault="00C60135" w:rsidP="00C60135">
      <w:pPr>
        <w:pStyle w:val="afff3"/>
        <w:rPr>
          <w:color w:val="auto"/>
        </w:rPr>
      </w:pPr>
    </w:p>
    <w:p w14:paraId="5C7BF88F" w14:textId="77777777" w:rsidR="00C60135" w:rsidRPr="009D5635" w:rsidRDefault="00C60135" w:rsidP="00C60135">
      <w:pPr>
        <w:pStyle w:val="afff3"/>
        <w:rPr>
          <w:color w:val="auto"/>
        </w:rPr>
      </w:pPr>
    </w:p>
    <w:p w14:paraId="1C6F982F" w14:textId="77777777" w:rsidR="00C60135" w:rsidRPr="009D5635" w:rsidRDefault="00C60135" w:rsidP="00C60135">
      <w:pPr>
        <w:pStyle w:val="afff3"/>
        <w:rPr>
          <w:color w:val="auto"/>
        </w:rPr>
      </w:pPr>
    </w:p>
    <w:p w14:paraId="1D3BDCB9" w14:textId="77777777" w:rsidR="00C60135" w:rsidRPr="009D5635" w:rsidRDefault="00C60135" w:rsidP="00C60135">
      <w:pPr>
        <w:pStyle w:val="afff3"/>
        <w:rPr>
          <w:color w:val="auto"/>
        </w:rPr>
      </w:pPr>
    </w:p>
    <w:p w14:paraId="6BED05C9" w14:textId="77777777" w:rsidR="00C60135" w:rsidRPr="009D5635" w:rsidRDefault="00C60135" w:rsidP="00C60135">
      <w:pPr>
        <w:pStyle w:val="afff3"/>
        <w:rPr>
          <w:color w:val="auto"/>
        </w:rPr>
      </w:pPr>
    </w:p>
    <w:p w14:paraId="662AC93D" w14:textId="77777777" w:rsidR="00C60135" w:rsidRPr="009D5635" w:rsidRDefault="00C60135" w:rsidP="00C60135">
      <w:pPr>
        <w:pStyle w:val="affa"/>
        <w:sectPr w:rsidR="00C60135" w:rsidRPr="009D5635" w:rsidSect="009808A9">
          <w:footerReference w:type="default" r:id="rId11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  <w:bookmarkStart w:id="15" w:name="_Ref141195031"/>
      <w:bookmarkStart w:id="16" w:name="_Toc141195257"/>
    </w:p>
    <w:p w14:paraId="4F40F282" w14:textId="5069BA94" w:rsidR="00C60135" w:rsidRPr="009D5635" w:rsidRDefault="00C60135" w:rsidP="00C60135">
      <w:pPr>
        <w:pStyle w:val="affa"/>
      </w:pPr>
      <w:bookmarkStart w:id="17" w:name="_Ref143018704"/>
      <w:r w:rsidRPr="009D5635">
        <w:lastRenderedPageBreak/>
        <w:t xml:space="preserve">Таблица </w:t>
      </w:r>
      <w:fldSimple w:instr=" SEQ Таблица \* ARABIC ">
        <w:r w:rsidR="00B37559">
          <w:rPr>
            <w:noProof/>
          </w:rPr>
          <w:t>1</w:t>
        </w:r>
      </w:fldSimple>
      <w:bookmarkEnd w:id="15"/>
      <w:bookmarkEnd w:id="17"/>
      <w:r w:rsidRPr="009D5635">
        <w:t>. Учет замечаний и предложений</w:t>
      </w:r>
      <w:bookmarkEnd w:id="16"/>
      <w:r w:rsidRPr="009D5635">
        <w:t xml:space="preserve"> от Управления энергетики и тарифов Липецкой области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9"/>
        <w:gridCol w:w="1124"/>
        <w:gridCol w:w="1540"/>
        <w:gridCol w:w="5891"/>
        <w:gridCol w:w="1544"/>
        <w:gridCol w:w="4564"/>
      </w:tblGrid>
      <w:tr w:rsidR="009D5635" w:rsidRPr="00424216" w14:paraId="4106D969" w14:textId="77777777" w:rsidTr="00424216">
        <w:trPr>
          <w:trHeight w:val="20"/>
          <w:tblHeader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E8A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159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 Главы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BBB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Раздел, страница</w:t>
            </w: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130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Замечания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D7B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Отметка о 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выполнении</w:t>
            </w: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825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Комментарий разработчика</w:t>
            </w:r>
          </w:p>
        </w:tc>
      </w:tr>
      <w:tr w:rsidR="009D5635" w:rsidRPr="00424216" w14:paraId="22268F8F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66B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53B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A07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FC21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По состоянию на 01.01.2023 котельная «Космонавтов, 36/4» как котельная не функционирует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6FA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488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Добавлено примечание к таблицам в следующей редакции: "* - Котельная «Улица Космонавтов, д. 36/4» переоборудована в ЦТП с переключением тепловой нагрузки на котельную «Привокзальная» филиала АО «Квадра» - «Липецкая генерация» с 23.09.2022."</w:t>
            </w:r>
          </w:p>
        </w:tc>
      </w:tr>
      <w:tr w:rsidR="009D5635" w:rsidRPr="00424216" w14:paraId="0FA1D688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334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B5F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7A6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DD45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котельная по ул. Арсеньева «Школа № 41» не на балансе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 (не передавалась)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72B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975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исключена из материалов схемы</w:t>
            </w:r>
          </w:p>
        </w:tc>
      </w:tr>
      <w:tr w:rsidR="009D5635" w:rsidRPr="00424216" w14:paraId="35DCAD79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C9B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498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83A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30, табл. 2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B148" w14:textId="18996E66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По состоянию на 01.01.2023 котельная «Космонавтов, 36/4» как котельная не функционирует. Данная котельная в сентябре 2022 года выведена из эксплуатации с переключением потребителя на сети АО «Квадра». В здании котельной оборудовано ЦТП. Поэтому необходимо скорректировать информацию в таблице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C42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45A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Добавлено примечание к таблицам в следующей редакции: "* - Котельная «Улица Космонавтов, д. 36/4» переоборудована в ЦТП с переключением тепловой нагрузки на котельную «Привокзальная» филиала АО «Квадра» - «Липецкая генерация» с 23.09.2022."</w:t>
            </w:r>
          </w:p>
        </w:tc>
      </w:tr>
      <w:tr w:rsidR="009D5635" w:rsidRPr="00424216" w14:paraId="519E9C43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CF5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913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0B1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30, табл. 2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C4A8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По котельной по ул. Арсеньева «Школа № 41» - уточнить в чьей собственности находится и кто является теплоснабжающей организацией (МУП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 котельную на баланс не принимал)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1D3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01E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Добавлено примечание к таблицам в следующей редакции: "** - Котельная по улице Арсеньева «Школа № 41» передана в хоз. ведение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УОиН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Липецкой области с 01.10.2022 г. (Исключена из ЕТО № 2)"</w:t>
            </w:r>
          </w:p>
        </w:tc>
      </w:tr>
      <w:tr w:rsidR="009D5635" w:rsidRPr="00424216" w14:paraId="6988EF74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89B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D18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246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34, табл. 3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0B0F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перечне производственных источников отсутствует ТЭЦ «ЛТК «Свободный Сокол», работающих на производственные нужды завода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12C8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BDA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таблицу 3 Главы 1 добавлена информация по ТЭЦ "ЛТК "Свободный Сокол"</w:t>
            </w:r>
          </w:p>
        </w:tc>
      </w:tr>
      <w:tr w:rsidR="009D5635" w:rsidRPr="00424216" w14:paraId="30C2C92C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1BC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0EB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5A4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37, раздел 1.5</w:t>
            </w:r>
          </w:p>
        </w:tc>
        <w:tc>
          <w:tcPr>
            <w:tcW w:w="1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F312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Дополнить информацией о выводе из эксплуатации котельной «Космонавтов, 36/4» с переключением потребителя на сети АО «Квадра», а также информацией по вводу котельной БМК «Стратегия»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62B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D86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раздел добавлена недостающая информация.</w:t>
            </w:r>
          </w:p>
        </w:tc>
      </w:tr>
      <w:tr w:rsidR="009D5635" w:rsidRPr="00424216" w14:paraId="25E7C15F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5ED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77B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428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84, раздел 2.2.15</w:t>
            </w:r>
          </w:p>
        </w:tc>
        <w:tc>
          <w:tcPr>
            <w:tcW w:w="1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24D5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FFE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485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раздел добавлена недостающая информация.</w:t>
            </w:r>
          </w:p>
        </w:tc>
      </w:tr>
      <w:tr w:rsidR="009D5635" w:rsidRPr="00424216" w14:paraId="26185D0E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2C1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01E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312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60,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29 стр. 64,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33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A28B1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По котельной «Электроаппарат» год установки котлов указан неправильно. Котлы были заменены в рамках ИП. Необходимо актуализировать информацию по данной котельной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D66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3D6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412C11DC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A44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EDA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5D81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0F3B" w14:textId="19CF57E1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Оборудование котельной «Космонавтов, 36/4» полностью демонтировано в 2022 году. Объект переоборудован в ЦТП и переключен на сети АО «Квадра»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1D7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CEE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767E9883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FE6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F12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7986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FC65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3) Отсутствует информация по БМК «Стратегия»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8C0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B50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36BC63B4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DFC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082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637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61,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29, стр. 62,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30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6E8C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котельная по ул. Арсеньева «Школа № 41» не на балансе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 (не передавалась)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D20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BA0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7D4993E8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BCF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41F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ADA0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B2BB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Отсутствует БМК «Стратегия»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A77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8F7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22D19F53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16A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E9B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1F80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62-63,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31, стр. 64,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33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468C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Замечания по перечню котельных – см в предыдущих пунктах замечаний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228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762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1C81D655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FA1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DE8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09D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64, раздел. 2.2.7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F989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Сам раздел 2.2 – это раздел по ЕТО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», однако в разделе 2.2.7 (до таблицы 34) указана информация по 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температурным графикам источников АО «Квадра»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FAF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119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Абзац скорректирован в следующей редакции: "По состоянию на начало 2023 г., на момент 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актуализации схемы теплоснабжения, в г. Липецк применяются температурные графики 130/70°С, 115/70°С, 98/70°С, 95/70°С, 90/70°С, 95/65°С и 80/60°С. На температурных графиках многих источников тепловой энергии </w:t>
            </w:r>
            <w:proofErr w:type="gram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имеет-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ся</w:t>
            </w:r>
            <w:proofErr w:type="spellEnd"/>
            <w:proofErr w:type="gram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верхняя эксплуатационная «срезка» температурного графика качественного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регулиро-вания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отпуска тепла."</w:t>
            </w:r>
          </w:p>
        </w:tc>
      </w:tr>
      <w:tr w:rsidR="009D5635" w:rsidRPr="00424216" w14:paraId="0546EDA4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3EF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4E0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F50E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C864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Замечания по перечню котельных – см в предыдущих пунктах замечаний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87E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C3F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1CF8A48C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4E1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E9C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081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66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35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DB36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Замечания по перечню котельных – см в предыдущих пунктах замечаний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739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706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392D241C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D430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8DC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D96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73,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36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891B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указана информация по узлам учетом котельной БМК «Ковалева, 107д»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A33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E0C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таблицу была добавлена недостающая информация.</w:t>
            </w:r>
          </w:p>
        </w:tc>
      </w:tr>
      <w:tr w:rsidR="009D5635" w:rsidRPr="00424216" w14:paraId="47FE9154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1CA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A8A9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492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86,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39, стр. 93,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47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1A88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Значения КПД котлов и значения УРУТ по котлам не соответствуют друг другу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CA8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092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Значения УРУТ в таблицах скорректированы.</w:t>
            </w:r>
          </w:p>
        </w:tc>
      </w:tr>
      <w:tr w:rsidR="009D5635" w:rsidRPr="00424216" w14:paraId="60FF4DCA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28E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A9D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7B7D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259A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по котельной ООО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Энергоплюс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 по ул. Бородинская УРУТ котлов 132,3, что соответствует КПД 108 % (!!!). При этом в столбце КПД котлов указано значение 90,5%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71D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35E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Значения УРУТ в таблицах скорректированы.</w:t>
            </w:r>
          </w:p>
        </w:tc>
      </w:tr>
      <w:tr w:rsidR="009D5635" w:rsidRPr="00424216" w14:paraId="10F00B94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1AE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8FB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8AB1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8416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 ВСЕЙ ТАБЛИЦЕ во всех столбцах пересчитать УРУТ и КПД. Сопоставить полученные значения с технически (физически) возможными значениями (КПД более 100%)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2D6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104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Значения УРУТ в таблицах скорректированы.</w:t>
            </w:r>
          </w:p>
        </w:tc>
      </w:tr>
      <w:tr w:rsidR="009D5635" w:rsidRPr="00424216" w14:paraId="21BFE1C4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E9A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ABE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81C7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865D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 котельной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котельной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ООО "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ЭнергоПлюс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" в 2019 году указан УРУТ на отпуск в сеть 125,27 – это КПД котельной 114%!!!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53D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049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Значения УРУТ в таблицах скорректированы.</w:t>
            </w:r>
          </w:p>
        </w:tc>
      </w:tr>
      <w:tr w:rsidR="009D5635" w:rsidRPr="00424216" w14:paraId="0AFAB2B6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D0E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15D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B0BD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3D3E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 ВСЕЙ ТАБЛИЦЕ Сопоставить полученные значения УРУТ с технически (физически) возможными значениями (КПД более 100%)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53A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2F9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Значения УРУТ в таблицах скорректированы.</w:t>
            </w:r>
          </w:p>
        </w:tc>
      </w:tr>
      <w:tr w:rsidR="009D5635" w:rsidRPr="00424216" w14:paraId="4C15CB2B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B77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8D9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D43E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3373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По котельной "БСК 16,9 "Казьмина, 3А/1" ООО "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ЭнергоКонсалт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" УРУТ на отпуск в сеть указан в диапазоне от 237 до 300 кг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у.т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./Гкал. Объективность данного показателя для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Bosh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2020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г.в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Вызывает сомнения. Тем более, что в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46 указано на отсутствие приборов учета. В данном случае надо брать информацию об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УРУт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по режимным картам или по паспортным данным котла, а не по начислениям абонентам, которые не учитывают как бездоговорное или сверхнормативное потребление, а также сверхнормативные потери в тепловых сетях. При наличии объективного обоснования такого УРУТ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необъодимо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материалах Схемы предусмотреть мероприятия по повышению эффективности работы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6B65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1ED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Значения УРУТ в таблицах скорректированы.</w:t>
            </w:r>
          </w:p>
        </w:tc>
      </w:tr>
      <w:tr w:rsidR="009D5635" w:rsidRPr="00424216" w14:paraId="58C9607C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040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EDA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4EE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98-100,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49, 50, 51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AE7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Информация по диаметрам и протяженности паровых сетей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 не соответствует действительности.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F94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D24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Информация уточнена</w:t>
            </w:r>
          </w:p>
        </w:tc>
      </w:tr>
      <w:tr w:rsidR="009D5635" w:rsidRPr="00424216" w14:paraId="7FED86D2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5BB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B60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CF6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126-129 табл. 60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B0B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 информации данной таблицы невозможно идентифицировать участки сетей, т.к. нет информации от какого источника теплоснабжения они (нумерация ТК может для разных котельных совпадать). Необходимость указать принадлежность участков к котельным. Это участки только по АО «Квадра» или участки МУП 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 тут тоже имеются?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E71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622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Таблица не отражает актуальную ситуацию в городе, поэтому была удалена из Схемы теплоснабжения</w:t>
            </w:r>
          </w:p>
        </w:tc>
      </w:tr>
      <w:tr w:rsidR="009D5635" w:rsidRPr="00424216" w14:paraId="59538B1C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34E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68B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16A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135,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63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FCE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Отсутствует информация по ЦТП-2 по ул. 40 лет Октября, 33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449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250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таблицу была добавлена недостающая информация.</w:t>
            </w:r>
          </w:p>
        </w:tc>
      </w:tr>
      <w:tr w:rsidR="009D5635" w:rsidRPr="00424216" w14:paraId="6FFFF51C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A94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0F8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053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135,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64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9C5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заголовке таблицы указано, что это насосы на ЦТП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», а по факту в таблице указаны и объекты АО «Квадра» и объекты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МУПа</w:t>
            </w:r>
            <w:proofErr w:type="spellEnd"/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0CD0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89A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Наименование таблицы 64 скорректировано.</w:t>
            </w:r>
          </w:p>
        </w:tc>
      </w:tr>
      <w:tr w:rsidR="009D5635" w:rsidRPr="00424216" w14:paraId="37B91CDE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1AC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E60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F6F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176,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66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E3D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Отсутствует информация по котельной «Электроаппарат»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3F3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22F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таблицу была добавлена недостающая информация.</w:t>
            </w:r>
          </w:p>
        </w:tc>
      </w:tr>
      <w:tr w:rsidR="009D5635" w:rsidRPr="00424216" w14:paraId="24E2074C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35A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530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546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178 – 180, раздел 3.12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3FA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Информация по периодичности гидравлических испытаний, испытаний на максимальную температуру теплоносителя, на тепловые потери, на гидравлические потери приведена только для сетей АО «Квадра». Отсутствует аналогичная информация по остальным теплоснабжающим организациям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895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CE7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Остальные теплоснабжающие организации (кроме АО "Квадра") не предоставили требуемую в замечании информацию</w:t>
            </w:r>
          </w:p>
        </w:tc>
      </w:tr>
      <w:tr w:rsidR="009D5635" w:rsidRPr="00424216" w14:paraId="00010EE5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BFF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742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E39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Раздел 3.13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6ED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Указаны нормативные потери только по сетям АО «Квадра». Отсутствует аналогичная информация по остальным теплоснабжающим организациям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BD3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C18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раздел 3.13. была добавлена информация по МУП "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"</w:t>
            </w:r>
          </w:p>
        </w:tc>
      </w:tr>
      <w:tr w:rsidR="009D5635" w:rsidRPr="00424216" w14:paraId="3511C7B5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192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71E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9DD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190,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77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A6B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1) Таблица называется «Сведения о НАЛИЧИИ коммерческого </w:t>
            </w:r>
            <w:proofErr w:type="gram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учета….</w:t>
            </w:r>
            <w:proofErr w:type="gram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». При этом указаны только 20 потребителей в г. Липецке. По факту в городе более 2000 МКД имеют ОДПУ. Нужно или указывать всех потребителей или привести название таблицы в соответствие с содержащейся в ней информации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302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D28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Наименование таблицы скорректировано и представлено в следующей редакции: "Сведения о потребителях, необорудованных приборами коммерческого учета тепловой энергии в г. Липецке"</w:t>
            </w:r>
          </w:p>
        </w:tc>
      </w:tr>
      <w:tr w:rsidR="009D5635" w:rsidRPr="00424216" w14:paraId="664EB35D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40D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935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F1AF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A86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Информацию отразить по всем теплоснабжающим организациям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665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046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Информация о факте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оприборивания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потребителей от котельных других ТСО в схеме отражена, подробная информация о количестве приборов учета, отсутствует и не была предоставлена. Добавлен соответствующий комментарий</w:t>
            </w:r>
          </w:p>
        </w:tc>
      </w:tr>
      <w:tr w:rsidR="009D5635" w:rsidRPr="00424216" w14:paraId="155AA712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EFC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25F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8D2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194, раздел 3.18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62E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Фраза «Взаимодействие диспетчерских служб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» с муниципальной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ава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рийно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-диспетчерской службой осуществляется на основании «Инструкции о порядке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взаим-ного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информирования диспетчерских служб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» и диспетчерской </w:t>
            </w:r>
            <w:proofErr w:type="spellStart"/>
            <w:proofErr w:type="gram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служ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-бой</w:t>
            </w:r>
            <w:proofErr w:type="gram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МУП «АДС ГХ»» не соответствует действительности.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 не взаимодействует с диспетчерской службой МУП «АДС ГХ»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AE7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5C8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Абзац скорректирован.</w:t>
            </w:r>
          </w:p>
        </w:tc>
      </w:tr>
      <w:tr w:rsidR="009D5635" w:rsidRPr="00424216" w14:paraId="5DA7DAEA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07B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D282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929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195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D78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Актуализировать состав котельных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», работающих в автономном режиме по «безлюдной» технологии. Как МИНИМУМ в перечне не хватает БМК «Стратегия» и БМК «Ковалева, 107д»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943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B59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Абзац скорректирован в следующей редакции: "Девять котельных - «Липецкие узоры», «Школа №22», «Школа №16», «Школа № 26», БМК «Ковалева, 109а», БМК «Арсеньева» («Школа № 41»), БМК «Известковая, 2в» («Эн-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гельса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»), БМК «Стратегия» и БМК «Ковалева, 107д» работают в автономном режиме по «безлюдной» технологии и интегрированы в Систему Диспетчеризации Малых Газовых Ко-тельных (СД МГК)."</w:t>
            </w:r>
          </w:p>
        </w:tc>
      </w:tr>
      <w:tr w:rsidR="009D5635" w:rsidRPr="00424216" w14:paraId="1032669B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3A8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CF4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34F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199,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81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642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 информации данной таблицы невозможно идентифицировать 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участки сетей, т.к. нет информации от какого источника теплоснабжения они (нумерация ТК может для разных котельных совпадать). Необходимость указать принадлежность участков к котельным.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A50F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84D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Добавлены источники тепловой энергии</w:t>
            </w:r>
          </w:p>
        </w:tc>
      </w:tr>
      <w:tr w:rsidR="009D5635" w:rsidRPr="00424216" w14:paraId="1C7E8E6F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FFC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78D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8EF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259, разд. 5.2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A92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Тно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для Липецка указана «-27°С». Информация устарела -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Тно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для Липецка равна «-25°С». Произвести перерасчет информации,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укзанной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данном разделе на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Тно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= - 25°С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8BD3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D45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Температура скорректирована. Расчетная нагрузка скорректирована</w:t>
            </w:r>
          </w:p>
        </w:tc>
      </w:tr>
      <w:tr w:rsidR="009D5635" w:rsidRPr="00424216" w14:paraId="0006DF1D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EBB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094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9FF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291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AE6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Котельная «Прометей» находится за чертой г. Липецка,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74B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8AE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0192B506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1B4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228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70F0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687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БМК «Свободный Сокол», БМК «Дачный», БМК «Центролит в г. Липецка отсутствует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E5A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713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60ED746F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551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FA4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3268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BDF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3) Указать информация по БМК «Стратегия»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5BB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2AA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18324B6C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9FB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FDB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D48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301, табл. 94; стр. 307,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95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4B3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 котельной «Центролит» не указан объем отпуска теплоносителя на ГВС по открытой схеме (это дома по ул.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Нововесовая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EAC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827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7C7B0D8F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395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8C0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AE5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307,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95; стр. 309-310,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96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0C40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Указать величину расхода воды на ГВС по открытой схеме по источникам АО Квадра, в т.ч. за предшествующие периоды. Фраза «нет данных» не приемлема. АО «Квадра» ведет расчеты с абонентами и вполне может сформировать информацию по объемам теплоносителя</w:t>
            </w:r>
            <w:proofErr w:type="gram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выставленного абонентам на нужды ГВС по открытой схеме.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0F9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05E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5A67CBF5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325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219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B73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301, табл. 94; стр. 311,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96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259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 котельной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Св.Сокол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»: 1) в балансе производительности ВПУ учесть отпуск ХОВ на нужды ТЭЦ ЛТК «Св. Сокол» (т.е. ВПУ работает на подпитку тепловой сети и на приготовление ХОВ «на сторону» для ТЭЦ)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509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A90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Отсутствует информация по величине расхода ХОВ на ТЭЦ ЛТК</w:t>
            </w:r>
          </w:p>
        </w:tc>
      </w:tr>
      <w:tr w:rsidR="009D5635" w:rsidRPr="00424216" w14:paraId="2CBFBA7E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625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E33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E077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ECE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2) указано по строке «всего подпитка тепловой сети» - 23,37 т/ч, а в разбивке по подпунктам «нормативные утечки» и «сверхнормативные утечки» указано соответственно 7,2 и 14,6 т/ч,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т.е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=21,8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322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0DD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03FA0493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3A2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CF35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DA9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368,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139</w:t>
            </w: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0F2F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всех котельных разная теплота сгорания газа в рамках одного года. При этом данная теплота колеблется от 7700 до 9100 ккал/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куб.м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. По данным «Газпром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Межригионгаз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Липецк» средняя теплота сгорания колеблется в районе 8200 ккал/</w:t>
            </w:r>
            <w:proofErr w:type="spellStart"/>
            <w:proofErr w:type="gram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1AE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27A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3A748977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1E0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7C8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672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Раздел 9.3, таблица 144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706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1) За 2022 год в отношении источников АО «Квадра» «Среднее время восстановление теплоснабжения после повреждения…» указано только по источнику ТЭЦ-2. По остальным источникам АО «Квадра» этот показатель имеет нулевые </w:t>
            </w:r>
            <w:proofErr w:type="gram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значения</w:t>
            </w:r>
            <w:proofErr w:type="gram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тогда как в таблице 143 (раздел. 9.2,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380) по ним имеются повреждения в отопительный период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D15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C95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7FC40881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792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1F6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1993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DDB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Аналогично необходимо сопоставить информацию из таблиц 143 и 144 по остальным теплоснабжающим организациям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847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674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2D3EDD26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2FA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FDF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01C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442, таблицы 210 и 211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A0A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Отсутствуют данные по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699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115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3D641EAD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D5C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48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ADA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87C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444, раздел 12.2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FDD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Дополнить перечень проблем информацией об износе основных фондов источников тепловой энергии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EAF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E95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Добавлено в п. 12.2</w:t>
            </w:r>
          </w:p>
        </w:tc>
      </w:tr>
      <w:tr w:rsidR="009D5635" w:rsidRPr="00424216" w14:paraId="76FAE394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ABC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2F2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1C5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Общее замечание к Главе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589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Учесть замечания к Главе 1 по составу котельных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01F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F11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Добавлены соответствующие примечания к таблицам 1 и 2 Главы 2</w:t>
            </w:r>
          </w:p>
        </w:tc>
      </w:tr>
      <w:tr w:rsidR="009D5635" w:rsidRPr="00424216" w14:paraId="2F2FE4E7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A3C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91E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6D3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15,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3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9B1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Отсутствует информация по выбытию отапливаемой площади. Эти данные однозначно имеются в администрации. Есть конкретный список расселенных домов, отключенных от отопления. Поэтому информация ДОЛЖНА быть! При этом в таблице 9 (стр. 24) данная информация имеется!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9F7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777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Информация по сносу за 2022 г. добавлена. Таблица 3 обновлена</w:t>
            </w:r>
          </w:p>
        </w:tc>
      </w:tr>
      <w:tr w:rsidR="009D5635" w:rsidRPr="00424216" w14:paraId="2809D3A6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2F4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D44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13B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94,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29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395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 котельной «Свободный Сокол» в 2022 году стоит «нет данных». Вместе с тем информация по подключенной нагрузке отражена в Главе 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A85D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3F2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Информация по котельной "Свободный Сокол" добавлена. Таблица 29 Главы 2 скорректирована</w:t>
            </w:r>
          </w:p>
        </w:tc>
      </w:tr>
      <w:tr w:rsidR="009D5635" w:rsidRPr="00424216" w14:paraId="09E5B84A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534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D20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29E2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Раздел 4. Общее по разделу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A13D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Указанное при расчетах количество тепла, вырабатываемое на источниках за час, не соответствует ни договорным, ни расчетным нагрузкам, приведенным в Главе 1 (даже с учетом потерь). При этом по некоторым источникам часовая выработка, указанная в разделе 4 существенно (иногда в 1,5-2 раза) превышает установленную мощность источников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DDA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Приведено пояснение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B69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 анализе фактических режимов работы тепловых сетей было установлено, что фактические расходы теплоносителя на большинстве источников теплоснабжения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преышают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нормативные значения в 1,2-1,8 раза.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Всвязи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 этим, для калибровки электронной модели на фактические расходы теплоносителя были введены поправочные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коэфициенты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 тепловым нагрузкам потребителей. В результате в сводных данных расчета на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иточниках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телпоснабжения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указаны завышенные значения тепловых нагрузок потребителей. Для избежания неправильного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рактования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результатов расчета величины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телповых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нагрузок удалены из Раздела 4.</w:t>
            </w:r>
          </w:p>
        </w:tc>
      </w:tr>
      <w:tr w:rsidR="009D5635" w:rsidRPr="00424216" w14:paraId="05959151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99A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041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3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F7C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Раздел 5, стр. 54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EFE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Котельная «Космонавтов, 36/4» выведена из эксплуатации и переключена на котельную «Привокзальная» в 2022 году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490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830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Добавлено примечание</w:t>
            </w:r>
          </w:p>
        </w:tc>
      </w:tr>
      <w:tr w:rsidR="009D5635" w:rsidRPr="00424216" w14:paraId="522E61FD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87D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5FB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3</w:t>
            </w: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9474" w14:textId="77777777" w:rsidR="009D5635" w:rsidRPr="00424216" w:rsidRDefault="009D5635" w:rsidP="009D5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E1D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БМК «Стратегия» уже введена в эксплуатацию и потребители на нее переключены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85D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8FE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Добавлено примечание</w:t>
            </w:r>
          </w:p>
        </w:tc>
      </w:tr>
      <w:tr w:rsidR="009D5635" w:rsidRPr="00424216" w14:paraId="0F86C552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154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33F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39A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Раздел 10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16E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Отсутствуют пьезометрические графики для котельных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AE8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431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Добавлены пьезометрические графики для котельных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9D5635" w:rsidRPr="00424216" w14:paraId="455A8044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921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31C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8CB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Электронная модель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11D4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эл/модели некорректно отрисован объект от котельной «Электроаппарат»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Адрес в карточке объекта (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Студеновская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91. 93) не совпадает с адресом на карте (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Студеновская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75а)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B80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EE2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Внесены изменения в электронную модель</w:t>
            </w:r>
          </w:p>
        </w:tc>
      </w:tr>
      <w:tr w:rsidR="009D5635" w:rsidRPr="00424216" w14:paraId="02F872D9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844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530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343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Электронная модель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6374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Схеме есть участки т/сетей с некорректной информацией об их статусе работы (помечены как отключенные).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НАПРИМЕР: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AC2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578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Внесены изменения в электронную модель</w:t>
            </w:r>
          </w:p>
        </w:tc>
      </w:tr>
      <w:tr w:rsidR="009D5635" w:rsidRPr="00424216" w14:paraId="37759F77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B24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C6D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819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Электронная модель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52A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DF4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6DA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Внесены изменения в электронную модель</w:t>
            </w:r>
          </w:p>
        </w:tc>
      </w:tr>
      <w:tr w:rsidR="009D5635" w:rsidRPr="00424216" w14:paraId="4CF79CD7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7A3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401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7D1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Электронная модель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AC0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5609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447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</w:tr>
      <w:tr w:rsidR="009D5635" w:rsidRPr="00424216" w14:paraId="732D27E7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B7A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60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497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9B1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Электронная модель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9B04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Систем теплоснабжения от котельной «Ковалева, 107д» внесена (отображена и просчитана) от недействующей старой котельной. В 2022 году введена в эксплуатацию БМК «Ковалева, 107 д»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144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91E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Внесены изменения в электронную модель</w:t>
            </w:r>
          </w:p>
        </w:tc>
      </w:tr>
      <w:tr w:rsidR="009D5635" w:rsidRPr="00424216" w14:paraId="7E8E6E16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B2B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029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ABE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табл. 2, стр. 24-25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B49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котельная БМК «Ковалева, 107 д» включена в работу в 2022 году. До этого в работе была старая котельная «Ковалева, 107д». В таблице же период с 2018 по 2042 годы информация представлена единым блоком - для БМК «Ковалева, 107 д»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6EA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C5A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Добавлено примечание</w:t>
            </w:r>
          </w:p>
        </w:tc>
      </w:tr>
      <w:tr w:rsidR="009D5635" w:rsidRPr="00424216" w14:paraId="59B2DDFD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24029" w14:textId="78483054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579D" w14:textId="047302C0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D908" w14:textId="4B3D3985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табл. 2, стр. 24-25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EE2F" w14:textId="20B5773C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Котельная «Прометей» находится за чертой г. Липецка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15898" w14:textId="49BC9C94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078B0" w14:textId="63CFBCBE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исключена из всех материалов схемы теплоснабжения</w:t>
            </w:r>
          </w:p>
        </w:tc>
      </w:tr>
      <w:tr w:rsidR="009D5635" w:rsidRPr="00424216" w14:paraId="05AE7D49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D93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507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19F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40, рис. 20</w:t>
            </w: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0AA5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Отраженный пьезометрический график по котельной «Свободный Сокол» не соответствует действительности. Даже с учетом перспективного изменения нагрузок. Приведенный на рис. 20 пьезометр не отражает реального гидравлического режима и работы ЦТП «Ушинского»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Ниже привожу ориентировочный вид пьезометра с учетом гидравлической схемы ЦТП «Ушинского, 9»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996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Приведено пояснение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23E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Калибровка электронной модели выполнена по предоставленным фактическим режимам работы (расходы и давления теплоносителя) источников тепловой энергии. Данные по фактическим режимам работы ЦТП по котельной "Свободный сокол" не были предоставлены</w:t>
            </w:r>
          </w:p>
        </w:tc>
      </w:tr>
      <w:tr w:rsidR="009D5635" w:rsidRPr="00424216" w14:paraId="6C0AD703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129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FA9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09E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Раздел. 5, стр. 46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33C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 Гидравлические расчеты по котельным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 не корректны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A80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Приведено пояснение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172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Калибровка электронной модели выполнена по предоставленным фактическим режимам работы (расходы и давления теплоносителя) источников тепловой энергии. </w:t>
            </w:r>
          </w:p>
        </w:tc>
      </w:tr>
      <w:tr w:rsidR="009D5635" w:rsidRPr="00424216" w14:paraId="35010C38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7AB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723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5B7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Раздел. 5, стр. 46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692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2. Отсутствует информация по актуализации гидравлического режима по котельным «108 квартал», «Электроаппарат», «Липецкие узоры» после подключения перспективной нагрузки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BCB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6CE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Добавлены расчеты гидравлических режимов для требуемых котельных</w:t>
            </w:r>
          </w:p>
        </w:tc>
      </w:tr>
      <w:tr w:rsidR="009D5635" w:rsidRPr="00424216" w14:paraId="0E037A9F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8C6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E68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32E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11, раздел 1.1. В конце раздела после слов «Основные различия между вариантами». стр. 30, раздел 1.3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514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Переключить котельную «Свободный Сокол» на котельную «Юго-Западная» не представляется возможным. </w:t>
            </w:r>
            <w:proofErr w:type="gram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Может быть</w:t>
            </w:r>
            <w:proofErr w:type="gram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имелась ввиду котельная «Центролит»? Тем более, что в электронной модели прорисовано именно переключение «Центролита» на ЮЗК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2C0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899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Опечатка в тексте устранена: взамен котельной "Свободный Сокол" указана котельная "Центролит".</w:t>
            </w:r>
          </w:p>
        </w:tc>
      </w:tr>
      <w:tr w:rsidR="009D5635" w:rsidRPr="00424216" w14:paraId="6A6FB103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E1C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97C1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4E4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12, разд. 1.2.1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D8F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Установка котельной «БМК воинской части» - о какой котельной идет речь? В Электронной модели (перспективные слои) этот источник не обозначен. </w:t>
            </w:r>
            <w:proofErr w:type="gram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Возможно</w:t>
            </w:r>
            <w:proofErr w:type="gram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имелось ввиду мероприятие «Перевод четырехквартирного дома на территории воинской части п. Дачный с парового отопления на индивидуальное». Если мы говорим про индивидуальное теплоснабжение, то речь идет не о блочной котельной, а о квартирных газовых котлах. необходимо в более явном виде прописать суть мероприятия во избежание неоднозначных трактовок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FC7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13B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Мероприятие перенесено в п. 1.2.3 с новой формулировкой: "Перевод четырехквартирного дома на территории воинской части п. Дачный с парового отопления на отопление от новой БМК"</w:t>
            </w:r>
          </w:p>
        </w:tc>
      </w:tr>
      <w:tr w:rsidR="009D5635" w:rsidRPr="00424216" w14:paraId="779FDCF9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AB0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B73A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6DC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22, раздел 1.2.3.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9B7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Котельная «Космонавтов, 36/4» переключена на сети котельной «Привокзальная» еще в 2022 году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979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A13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Мероприятие исключено</w:t>
            </w:r>
          </w:p>
        </w:tc>
      </w:tr>
      <w:tr w:rsidR="009D5635" w:rsidRPr="00424216" w14:paraId="0E7B70CD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319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844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9A9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25, раздел 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1.2.4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7EC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2) БМК «Стратегия введена в эксплуатацию в 2022 году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A14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62A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Мероприятие исключено</w:t>
            </w:r>
          </w:p>
        </w:tc>
      </w:tr>
      <w:tr w:rsidR="009D5635" w:rsidRPr="00424216" w14:paraId="325BF684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15C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558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FAA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Общее замечание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EEC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Во всех вариантах отсутствует мероприятие по реконструкции водяных тепловых сетей от котельной «Дачный» со строительством циркуляционного трубопровода ГВС. Система ГВС здесь тупиковая и есть постоянные многолетние жалобы от жителей в данном районе на низкую температуру ГВС.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C8B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448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МУП "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" не предоставила технических характеристик по данным мероприятиям. </w:t>
            </w:r>
          </w:p>
        </w:tc>
      </w:tr>
      <w:tr w:rsidR="009D5635" w:rsidRPr="00424216" w14:paraId="01BFC41E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E90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407B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838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Общее замечание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94E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Отсутствует информация о выводе из эксплуатации «старых» котельных «Св. Сокол», «Центролит», «Дачный» после строительства новых БМК или переключения на ЮЗК (в отношении котельной «Центролит». Котельные планируется оставить в работе? Тогда в чем смысл мероприятий? Не отражена информация о выводе участков тепловых сетей и паропроводов (для котельной «Дачный») от данных котельных.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104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646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описание мероприятий в п. 1.2.3 добавлены пояснения о закрытии старых котельных после ввода новых БМК. </w:t>
            </w:r>
          </w:p>
        </w:tc>
      </w:tr>
      <w:tr w:rsidR="009D5635" w:rsidRPr="00424216" w14:paraId="58C7ED1A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758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E86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732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Общее замечание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FCB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3) При переключении потребителей котельной «Центролит» на ЮЗК не учтены (или не отражены) мероприятия по синхронизации температурных графиков котельной «Центролит» (115 / 70°С) и котельной «ЮЗК» (110 / 70°С).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700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353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Добавлено пояснение по регулированию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температатуры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от котельной "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ЮгоЗападная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"</w:t>
            </w:r>
          </w:p>
        </w:tc>
      </w:tr>
      <w:tr w:rsidR="009D5635" w:rsidRPr="00424216" w14:paraId="73E10B73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E20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E96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08F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16, табл. 2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1376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Учесть, что: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1) БМК «Стратегия введена в эксплуатацию в 2022 году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9F4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C66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Добавлено примечание</w:t>
            </w:r>
          </w:p>
        </w:tc>
      </w:tr>
      <w:tr w:rsidR="009D5635" w:rsidRPr="00424216" w14:paraId="2D978FDD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426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143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DDD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16, табл. 2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8525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котельная БМК «Ковалева, 107 д» включена в работу в 2022 году. До этого в работе была старая котельная «Ковалева, 107д». В таблице же период с 2018 по 2042 годы информация представлена единым блоком - для БМК «Ковалева, 107 д»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5C8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71D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Добавлено примечание во все материалы схемы теплоснабжения: "до 2022 года в работе находилась старая котельная «Ковалева, 107д»"</w:t>
            </w:r>
          </w:p>
        </w:tc>
      </w:tr>
      <w:tr w:rsidR="009D5635" w:rsidRPr="00424216" w14:paraId="52295860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D8B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DC1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07E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16, табл. 2</w:t>
            </w: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C15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3) Котельная «Прометей» находится за чертой г. Липецка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2F0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D6A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"Прометей" исключена из материалов схемы теплоснабжения</w:t>
            </w:r>
          </w:p>
        </w:tc>
      </w:tr>
      <w:tr w:rsidR="009D5635" w:rsidRPr="00424216" w14:paraId="10F9CBCA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2BF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D14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A65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22-23, табл. 5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937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Наименование столбцов не соответствует наименованию таблицы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8AE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928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таблицу 5 добавлены дополнительные строки с пояснением</w:t>
            </w:r>
          </w:p>
        </w:tc>
      </w:tr>
      <w:tr w:rsidR="009D5635" w:rsidRPr="00424216" w14:paraId="5C40B867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C55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AD5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C8E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22-23, табл. 5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176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2) По котельной «Центролит» нормативный расход подпиточной воды в аварийном режиме в 12 раз </w:t>
            </w:r>
            <w:proofErr w:type="gram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меньше  нормативного</w:t>
            </w:r>
            <w:proofErr w:type="gram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расхода в эксплуатационном режиме. Проверить расчеты, скорректировать либо обосновать.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5BB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C6E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Таблица скорректирована.</w:t>
            </w:r>
          </w:p>
        </w:tc>
      </w:tr>
      <w:tr w:rsidR="009D5635" w:rsidRPr="00424216" w14:paraId="26297281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268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E99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580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22-23, табл. 5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601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3) По котельным «Акушерский корпус», БМК «Известковая, 2в», БМК «Ковалева, 107 д.» размер подпитки в эксплуатационном режиме указан, а в аварийном режиме равен нулю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E76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C828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Таблица скорректирована.</w:t>
            </w:r>
          </w:p>
        </w:tc>
      </w:tr>
      <w:tr w:rsidR="009D5635" w:rsidRPr="00424216" w14:paraId="38E75CBD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8E7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34C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AB2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22-23, табл. 5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EB5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4) Не указан нормативный расход на подпитку в эксплуатационном и аварийном режимах для предлагаемых к строительству БМК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Св.Сокол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», БМК «Центролит», БМК «Дачный»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241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B57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Таблица скорректирована.</w:t>
            </w:r>
          </w:p>
        </w:tc>
      </w:tr>
      <w:tr w:rsidR="009D5635" w:rsidRPr="00424216" w14:paraId="30CA66E1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95A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FD1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118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22-23, табл. 5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4E6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5) Не указан нормативный расход на подпитку в эксплуатационном и аварийном режимах для существующих котельных БМК «Казьмина, 3а/1», ООО «Мегаполис-Недвижимость», котельная Воронежской таможни, БМК «Стратегия»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9572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351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Таблица скорректирована.</w:t>
            </w:r>
          </w:p>
        </w:tc>
      </w:tr>
      <w:tr w:rsidR="009D5635" w:rsidRPr="00424216" w14:paraId="7BF65072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84D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909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711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Общее замечание по 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главе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211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Учесть, что: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1) БМК «Стратегия введена в эксплуатацию в 2022 году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CBD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F34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Добавлено соответствующее примечание</w:t>
            </w:r>
          </w:p>
        </w:tc>
      </w:tr>
      <w:tr w:rsidR="009D5635" w:rsidRPr="00424216" w14:paraId="0384C245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1B4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41F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86E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Общее замечание по главе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959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котельная БМК «Ковалева, 107 д» включена в работу в 2022 году.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CDF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968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Добавлено соответствующее примечание</w:t>
            </w:r>
          </w:p>
        </w:tc>
      </w:tr>
      <w:tr w:rsidR="009D5635" w:rsidRPr="00424216" w14:paraId="13FCFD98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8E2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899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2F0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Общее замечание по главе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844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3) Котельная «Прометей» находится за чертой г. Липецка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206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31B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удалена из материалов схемы теплоснабжения</w:t>
            </w:r>
          </w:p>
        </w:tc>
      </w:tr>
      <w:tr w:rsidR="009D5635" w:rsidRPr="00424216" w14:paraId="521ABEE5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67F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4DF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D17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18, раздел 7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F99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Указано, что «В разработанной схеме теплоснабжения не предусмотрены мероприятия по реконструкции котельных с увеличением зоны их действия путем включения в нее зон действия существующих источников тепловой энергии». Вместе с тем в принятом в мастер-плане к реализации Варианте № 1 предусматривает реконструкцию котельной «Привокзальная» с установкой </w:t>
            </w:r>
            <w:proofErr w:type="spellStart"/>
            <w:proofErr w:type="gram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доп.водогрейных</w:t>
            </w:r>
            <w:proofErr w:type="spellEnd"/>
            <w:proofErr w:type="gram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котлов (Глава 5, раздел. 1.2.1, стр. 12)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48EE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Приведено пояснение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786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Установка нового котла на котельной "Привокзальная" необходима для подключения к котельной новых потребителей на площадках перспективной застройки. Переключение на котельную "Привокзальная" других котельных не планируется</w:t>
            </w:r>
          </w:p>
        </w:tc>
      </w:tr>
      <w:tr w:rsidR="009D5635" w:rsidRPr="00424216" w14:paraId="1B4BB8C5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341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DAC4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E9A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21, раздел 10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493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Скорректировать в соответствии с ранее (в других главах) данными замечаниями сроки ввода и вывода из эксплуатации котельных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CC1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C45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Сроки ввода / вывода уточнены</w:t>
            </w:r>
          </w:p>
        </w:tc>
      </w:tr>
      <w:tr w:rsidR="009D5635" w:rsidRPr="00424216" w14:paraId="052A9734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C0BA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ADF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456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38, табл. 7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9A3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 котельной «У пос. Северный Рудник» в период с 2018 по 2019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гг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показатель «Присоединенная договорная нагрузка…» равен нулю. Необходимо указать значение присоединенной нагрузки в этот период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131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FEE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Данные в таблице уточнены</w:t>
            </w:r>
          </w:p>
        </w:tc>
      </w:tr>
      <w:tr w:rsidR="009D5635" w:rsidRPr="00424216" w14:paraId="73C14250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55D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2E6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BAF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Общее замечание по главе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AE7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Учесть, что: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1) БМК «Стратегия введена в эксплуатацию в 2022 году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DF6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3F0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Добавлено соответствующее примечание</w:t>
            </w:r>
          </w:p>
        </w:tc>
      </w:tr>
      <w:tr w:rsidR="009D5635" w:rsidRPr="00424216" w14:paraId="7D52CABC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F58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A05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61C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Общее замечание по главе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FB6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2) котельная БМК «Ковалева, 107 д» включена в работу в 2022 году.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EF7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9FE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Добавлено соответствующее примечание</w:t>
            </w:r>
          </w:p>
        </w:tc>
      </w:tr>
      <w:tr w:rsidR="009D5635" w:rsidRPr="00424216" w14:paraId="3A621F8E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977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86B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723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Общее замечание по главе</w:t>
            </w: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E63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Отсутствует мероприятие по реконструкции водяных тепловых сетей от котельной «Дачный» со строительством циркуляционного трубопровода ГВС. 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Система ГВС здесь тупиковая и есть постоянные многолетние жалобы от жителей в данном районе на низкую температуру ГВС.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D39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65D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Отсутствует технические характеристики предлагаемого проекта (длина, диаметр, тип прокладки, сроки реализации, источник финансирования)</w:t>
            </w:r>
          </w:p>
        </w:tc>
      </w:tr>
      <w:tr w:rsidR="009D5635" w:rsidRPr="00424216" w14:paraId="1B3A2C03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461DE" w14:textId="0832A99A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B80BB" w14:textId="1AA1320B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3BCE" w14:textId="35099335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59-63 табл. 11</w:t>
            </w: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3EAE" w14:textId="0B681F8C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Название таблицы «Мероприятия по реконструкции тепловых сетей с увеличением диаметра трубопроводов…». По факту в таблице перспективные диаметры по всем строкам указаны меньше существующих диаметров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E61F7" w14:textId="7B9D359C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128E2" w14:textId="591EA518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Мероприятия по реконструкции тепловых сетей уточнены.</w:t>
            </w:r>
          </w:p>
        </w:tc>
      </w:tr>
      <w:tr w:rsidR="009D5635" w:rsidRPr="00424216" w14:paraId="03DC404B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E24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1C5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AE7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раздел 1.3, таблицы 19-26</w:t>
            </w: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C17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Учесть замечание к Главе 1 (см выше красным шрифтом и желтой заливкой) по котельной БМК 16,9 "Казьмина, 3А/1" ООО "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ЭнергоКонсалт"в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части необъективно существенно завышенного значения УРУТ (248 кг </w:t>
            </w:r>
            <w:proofErr w:type="spellStart"/>
            <w:proofErr w:type="gram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ут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./</w:t>
            </w:r>
            <w:proofErr w:type="gram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Гкал)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98D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327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Данные в таблице уточнены</w:t>
            </w:r>
          </w:p>
        </w:tc>
      </w:tr>
      <w:tr w:rsidR="009D5635" w:rsidRPr="00424216" w14:paraId="63303BAC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B40E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DEF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BB8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39,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46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630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2022 году УРУТ на выработку указан 140, 6, что соответствует КПД котлов 101,6%.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3C7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601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Данные в таблице уточнены</w:t>
            </w:r>
          </w:p>
        </w:tc>
      </w:tr>
      <w:tr w:rsidR="009D5635" w:rsidRPr="00424216" w14:paraId="120DF059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2AF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651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7DB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17-18,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FB0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Среднее время восстановления теплоснабжения после повреждения в 2022 по ряду котельных указано равным нулю – 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«Привокзальная», «СЗК», «ЮЗК», «Угловая», «Семашко», «Октябрьская». Вызывает сомнение отсутствие повреждений на тепловых сетях от данных котельных. Необходимо уточнить (получить письменное подтверждение) у АО «Квадра» факта отсутствия повреждений на сетях от указанных котельных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A59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895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6CAC84B1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4CD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AB0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D3A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Общее замечание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A82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Учесть в главе мероприятие по тепловым сетям (строительство циркуляционного трубопровода ГВС) от котельной «Дачный» - см. замечания к Главе 5 и к Главе 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796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DFE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Отсутствует технические характеристики предлагаемого проекта (длина, диаметр, тип прокладки, сроки реализации, источник финансирования)</w:t>
            </w:r>
          </w:p>
        </w:tc>
      </w:tr>
      <w:tr w:rsidR="009D5635" w:rsidRPr="00424216" w14:paraId="60A265F5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5ED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C86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173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12, табл. 1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A13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1) По ряду индикаторов для «ТЭЦ-2» на 2041-2042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гг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отражены нулевые значения. («Доля тепловой энергии, выработанной в комбинированном режиме…», УРУТ на отпуск эл/энергии, КИУМ и т.д.) Необходимо проверить корректность внесенной информации либо пояснить причину нулевых значений начиная с 2041 года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2A1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0C5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0FEB2262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479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232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910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12, табл. 1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649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Индикатор «Отношение материальной характеристики тепловых сетей, реконструированных за год, к общей материальной характеристике т/сетей» имеет на весь период (с 2018 по 2042 годы) нулевые значения. Вместе с тем мероприятиями Схемы предусмотрена в том числе и реконструкция тепловых сетей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7F3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7DB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2B7EAFFB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2C1B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B1E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6AC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53, табл. 2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F9A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Для ЕТО № 1 (АО «Квадра»)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1</w:t>
            </w:r>
            <w:proofErr w:type="gram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</w:t>
            </w:r>
            <w:proofErr w:type="gram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По ряду индикаторов для на 2041-2042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гг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отражены нулевые значения. («Доля тепловой энергии, выработанной в комбинированном режиме…», УРУТ на отпуск эл/энергии и т.д.)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C0C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4E9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5C2228DB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0CF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74C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FB5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53, табл. 2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55A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2) По индикатору «Отношение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источников» за весь период (с 2018 по 2042 годы) установлены нулевые значения. Вместе с тем мероприятиями Схемы предусмотрена в том числе и реконструкция источников теплоснабжения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Необходимо проверить корректность внесенной информации либо пояснить причину нулевых значений начиная с 2041 года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B6F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D5E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3E0FEA45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31E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245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F02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118-138, табл. 8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A88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1) Для котельной «Привокзальная» по показателю «Доля резерва тепловой мощности котельной по договорной нагрузке» за весь период (с 2018 по 2042 годы) установлены нулевые значения. Необходимо внести информацию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7B9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384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4E2691CB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1C0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076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A46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118-138, табл. 8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EC4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2) Почти для всех котельных по показателю «Доля котельных, оборудованных приборами </w:t>
            </w:r>
            <w:proofErr w:type="gram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учета»  установлены</w:t>
            </w:r>
            <w:proofErr w:type="gram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нулевые значения. Информация не соответствует действительности и противоречит данным из Главы 1.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9E9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BF5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70448D27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ECE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BFF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52F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стр. 141-165,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11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592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 ряду котельных Индикатор «Отношение материальной характеристики тепловых сетей, реконструированных за год, к общей материальной характеристике т/сетей» имеет на весь период (с 2018 по 2042 годы) нулевые значения. Вместе с тем 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мероприятиями Схемы предусмотрена в том числе и реконструкция тепловых сетей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7C51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D4F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Таблицы скорректированы.</w:t>
            </w:r>
          </w:p>
        </w:tc>
      </w:tr>
      <w:tr w:rsidR="009D5635" w:rsidRPr="00424216" w14:paraId="62D75917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07A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8C1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15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6D8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 20, табл. 3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стр. 24, табл. 4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стр. 30, табл. 5 и </w:t>
            </w:r>
            <w:proofErr w:type="spellStart"/>
            <w:proofErr w:type="gram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т.д</w:t>
            </w:r>
            <w:proofErr w:type="spellEnd"/>
            <w:proofErr w:type="gramEnd"/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79F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соответствии с материалами Схемы по котельной «по ул. Арсеньева «Школа № 41» МУП не владеет источником и тепловыми сетями от данной котельной и, соответственно не может являться ЕТО в данной зоне на основании п. 11 ПП РФ № 808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A87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ABA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исключена из ЕТО № 2</w:t>
            </w:r>
          </w:p>
        </w:tc>
      </w:tr>
      <w:tr w:rsidR="009D5635" w:rsidRPr="00424216" w14:paraId="13FDB28F" w14:textId="77777777" w:rsidTr="00424216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23D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6D8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DB7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3A2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Слова Филиал ПАО «Квадра» - «Липецкая генерация» заменить на слова Филиал АО «Квадра» - «Липецкая генерация».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6AD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AC4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Скорректировано во всех материалах схемы теплоснабжения</w:t>
            </w:r>
          </w:p>
        </w:tc>
      </w:tr>
      <w:tr w:rsidR="009D5635" w:rsidRPr="00424216" w14:paraId="76908846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CE5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013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E03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94A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«Улица Октябрьская, д. 51 б» с 2023 года переведена в насосную.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0D1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91B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Комментарий с "Закрытия котельной" на "Переоборудование в насосную стацию" обновлен</w:t>
            </w:r>
          </w:p>
        </w:tc>
      </w:tr>
      <w:tr w:rsidR="009D5635" w:rsidRPr="00424216" w14:paraId="415CD213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E15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710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9F0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Таблицах 1, 27 и последующих: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3FF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заменить название котельной «Завод «Свободный Сокол» на котельную «Свободный Сокол»;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A25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4D0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Наименование котельной скорректировано</w:t>
            </w:r>
          </w:p>
        </w:tc>
      </w:tr>
      <w:tr w:rsidR="009D5635" w:rsidRPr="00424216" w14:paraId="26BDA061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016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0EA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E94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Таблицах 1, 27 и последующих: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07E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«Прометей» территориально находится в Грязинском районе.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40B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AD1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"Прометей" исключена из материалов схемы теплоснабжения</w:t>
            </w:r>
          </w:p>
        </w:tc>
      </w:tr>
      <w:tr w:rsidR="009D5635" w:rsidRPr="00424216" w14:paraId="09992618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6C3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AF6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12E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Раздел 1.2.2.7. таблица 23 и 24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DD2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«Разделе 1.2.2.7. Фактические расходы теплоносителя в системах теплоснабжения, в которых прогнозируется прирост потребления тепловой энергии на каждом этапе» в Таблицах 23 и 24 указаны источники теплоснабжения, расположенные не на территории г. Липецка.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C67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480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Лишние источники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телповой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энергии удалены</w:t>
            </w:r>
          </w:p>
        </w:tc>
      </w:tr>
      <w:tr w:rsidR="009D5635" w:rsidRPr="00424216" w14:paraId="7E710B42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148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4BA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987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«Таблице 29. Перспективные тепловые балансы котельных»: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FF2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установленная тепловая мощность котельной «Угловая» с 2023 года не соответствует фактической, так как выполнено мероприятие в 2023 году по замене котла ТВГ-8М ст.№5 на котел мощностью 12 Гкал/ч;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DF7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107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Установленная тепловая мощность котельной "Угловая" с учетом мероприятия по замене котла с 2023 г. скорректирована</w:t>
            </w:r>
          </w:p>
        </w:tc>
      </w:tr>
      <w:tr w:rsidR="009D5635" w:rsidRPr="00424216" w14:paraId="3181BE3A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D56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454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A5F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«Таблице 29. Перспективные тепловые балансы котельных»: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601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«Улица Октябрьская, д. 51 б» с 2023 года переведена в насосную.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CD9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CF2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Комментарий с "Закрытия котельной" на "Переоборудование в насосную стацию" обновлен</w:t>
            </w:r>
          </w:p>
        </w:tc>
      </w:tr>
      <w:tr w:rsidR="009D5635" w:rsidRPr="00424216" w14:paraId="7BDB4D1A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B78A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B63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543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Таблица 35, 36, 37, 52, 53, 54, 55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967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Таблицах 35, 36, 37, 52, 53, 54, 55 слова Амортизация заменить на слова Собственные средства.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C85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8B0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Источник финансирования изменен</w:t>
            </w:r>
          </w:p>
        </w:tc>
      </w:tr>
      <w:tr w:rsidR="009D5635" w:rsidRPr="00424216" w14:paraId="2B2E672D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DC2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7C6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049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Таблица 33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C1F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«Таблице 33. Стоимость строительства котельных в зоне деятельности ЕТО № 2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 в столбец «Источник финансирования» добавить Бюджетные средства.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BB7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0B8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Указано "Собственные средства / Бюджетное финансирование"</w:t>
            </w:r>
          </w:p>
        </w:tc>
      </w:tr>
      <w:tr w:rsidR="009D5635" w:rsidRPr="00424216" w14:paraId="36CB9131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E0D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955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0BA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4EA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 всех Таблицах внести изменения по котельной «Улица Космонавтов, д. 36/4»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 в части изменения переключения тепловой нагрузки на котельную «Привокзальная» филиала АО «Квадра» «Липецкая генерация» с 23.09.2022.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E9E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754A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Добавлено примечание во все материалы схемы теплоснабжения</w:t>
            </w:r>
          </w:p>
        </w:tc>
      </w:tr>
      <w:tr w:rsidR="009D5635" w:rsidRPr="00424216" w14:paraId="43F06347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E19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263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916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ECB7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 всех Таблицах внести изменения по котельной «Школа-интернат № 2»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 в части изменения переключения тепловой нагрузки на котельную «Стратегия» МУП «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Липецктеплосеть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 с 02.05.2023.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DDF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B43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Добавлено примечание во все материалы схемы теплоснабжения</w:t>
            </w:r>
          </w:p>
        </w:tc>
      </w:tr>
      <w:tr w:rsidR="009D5635" w:rsidRPr="00424216" w14:paraId="5A3DB586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D812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46E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CDE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Таблица 38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448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Таблице 38 и последующих таблицах температурные графики 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источников тепловой энергии не соответствуют температурным графикам источников тепловой энергии в утвержденной схеме теплоснабжения от 31.08.2022 № 01-06/361.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9D7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Приведено 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пояснение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F39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Указаны утвержденные температурные графики, 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предоставленные теплоснабжающими организациями</w:t>
            </w:r>
          </w:p>
        </w:tc>
      </w:tr>
      <w:tr w:rsidR="009D5635" w:rsidRPr="00424216" w14:paraId="1927EB85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CA3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115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A4F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ACE61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Таблица 53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1963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Таблице 53 по мероприятию «Техническое перевооружение теплотрассы от ТК6-13 до ТК6-8 по ул. Меркулова (ЛТС)» скорректировать протяженность участка, капитальные затраты и источник финансирования.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9CA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40D5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Протяженность скорректирована, стоимость указана в соответствии с данными теплоснабжающей организации</w:t>
            </w:r>
          </w:p>
        </w:tc>
      </w:tr>
      <w:tr w:rsidR="009D5635" w:rsidRPr="00424216" w14:paraId="45D43260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136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1D58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A02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Таблица 54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89D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Таблице 54 по мероприятию «Реконструкция теплотрассы 2d=426 мм в пос.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Матырский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 переносом в лесополосу между жилыми домами по ул. </w:t>
            </w:r>
            <w:proofErr w:type="spellStart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Энергостроителей</w:t>
            </w:r>
            <w:proofErr w:type="spellEnd"/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Грязинским шоссе (от врезки в магистраль 2d=720 мм до ТК-160)» скорректировать протяженность участка, капитальные затраты.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44F0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Приведено пояснение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95BD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Протяженность и стоимость указаны в соответствии с данными теплоснабжающей организации</w:t>
            </w:r>
          </w:p>
        </w:tc>
      </w:tr>
      <w:tr w:rsidR="009D5635" w:rsidRPr="00424216" w14:paraId="3ABB5A1D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67F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29F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55C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Таблица 57 и 59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687F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Таблицах 57 и 59 скорректировать отпуск с коллекторов тепловой энергии на 2023 год и последующие годы с учетом перевода котельной «Улица Октябрьская, д. 51 б» с 2023 года в насосную согласно расчету Управления в сопоставимых условиях (расчет прилагается).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824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320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Величины отпуска тепловой энергии скорректированы</w:t>
            </w:r>
          </w:p>
        </w:tc>
      </w:tr>
      <w:tr w:rsidR="009D5635" w:rsidRPr="00424216" w14:paraId="4C976FC7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D204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C83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6509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Таблица 68, 76, 84, 100, 69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EFCC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Таблицах 68, 76, 84, 100 и 69 необходимо пояснение расчета отпуска с коллекторов тепловой энергии на 2023 год и последующие годы.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43AB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3D9C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Величины отпуска тепловой энергии скорректированы</w:t>
            </w:r>
          </w:p>
        </w:tc>
      </w:tr>
      <w:tr w:rsidR="009D5635" w:rsidRPr="00424216" w14:paraId="7528AB6D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0B1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785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УЧ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271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E7B6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Дать пояснения по снижению отпуска с коллекторов ЛТЭЦ-2, ЮЗК, СЗК, Привокзальная котельная, Угловая котельная в 2023 годах и последующих при увеличении приростов площади строительных фондов и перспективных объемах потребления тепловой энергии (мощности) на данных источниках.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E27E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F082" w14:textId="77777777" w:rsidR="009D5635" w:rsidRPr="00424216" w:rsidRDefault="009D5635" w:rsidP="009D56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Величины отпуска тепловой энергии скорректированы</w:t>
            </w:r>
          </w:p>
        </w:tc>
      </w:tr>
    </w:tbl>
    <w:p w14:paraId="3920A3BD" w14:textId="34D058C6" w:rsidR="00991F1F" w:rsidRDefault="00991F1F" w:rsidP="00424216">
      <w:pPr>
        <w:spacing w:line="360" w:lineRule="auto"/>
        <w:rPr>
          <w:rFonts w:ascii="Arial" w:eastAsia="Calibri" w:hAnsi="Arial" w:cs="Arial"/>
          <w:bCs/>
          <w:sz w:val="20"/>
          <w:szCs w:val="20"/>
          <w:lang w:eastAsia="ru-RU"/>
        </w:rPr>
      </w:pPr>
    </w:p>
    <w:p w14:paraId="4E2E2620" w14:textId="0E62CB46" w:rsidR="00991F1F" w:rsidRPr="009D5635" w:rsidRDefault="00991F1F" w:rsidP="00991F1F">
      <w:pPr>
        <w:pStyle w:val="affa"/>
      </w:pPr>
      <w:bookmarkStart w:id="18" w:name="_Ref143018840"/>
      <w:r w:rsidRPr="009D5635">
        <w:t xml:space="preserve">Таблица </w:t>
      </w:r>
      <w:fldSimple w:instr=" SEQ Таблица \* ARABIC ">
        <w:r w:rsidR="00B37559">
          <w:rPr>
            <w:noProof/>
          </w:rPr>
          <w:t>2</w:t>
        </w:r>
      </w:fldSimple>
      <w:bookmarkEnd w:id="18"/>
      <w:r w:rsidRPr="009D5635">
        <w:t xml:space="preserve">. Учет замечаний и предложений от </w:t>
      </w:r>
      <w:r>
        <w:t>АО «Квадра»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1"/>
        <w:gridCol w:w="1105"/>
        <w:gridCol w:w="1423"/>
        <w:gridCol w:w="5823"/>
        <w:gridCol w:w="1884"/>
        <w:gridCol w:w="4496"/>
      </w:tblGrid>
      <w:tr w:rsidR="00991F1F" w:rsidRPr="00424216" w14:paraId="0BBFEB95" w14:textId="77777777" w:rsidTr="00424216">
        <w:trPr>
          <w:trHeight w:val="20"/>
          <w:tblHeader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891E" w14:textId="77777777" w:rsidR="00991F1F" w:rsidRPr="00424216" w:rsidRDefault="00991F1F" w:rsidP="008C7B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2887" w14:textId="77777777" w:rsidR="00991F1F" w:rsidRPr="00424216" w:rsidRDefault="00991F1F" w:rsidP="008C7B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 Главы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9AB5" w14:textId="77777777" w:rsidR="00991F1F" w:rsidRPr="00424216" w:rsidRDefault="00991F1F" w:rsidP="008C7B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Раздел, страница</w:t>
            </w:r>
          </w:p>
        </w:tc>
        <w:tc>
          <w:tcPr>
            <w:tcW w:w="1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FF85" w14:textId="77777777" w:rsidR="00991F1F" w:rsidRPr="00424216" w:rsidRDefault="00991F1F" w:rsidP="008C7B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Замечания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957D" w14:textId="77777777" w:rsidR="00991F1F" w:rsidRPr="00424216" w:rsidRDefault="00991F1F" w:rsidP="008C7B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Отметка о 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выполнении</w:t>
            </w: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C623" w14:textId="77777777" w:rsidR="00991F1F" w:rsidRPr="00424216" w:rsidRDefault="00991F1F" w:rsidP="008C7B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Комментарий разработчика</w:t>
            </w:r>
          </w:p>
        </w:tc>
      </w:tr>
      <w:tr w:rsidR="00991F1F" w:rsidRPr="00424216" w14:paraId="0D1DD50A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D75D0" w14:textId="66B9D8DB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D9FBA" w14:textId="02C138C2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8362" w14:textId="49AB0CDE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EDCB" w14:textId="421988CD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По тексту всей схемы заменить ПАО Кадра на АО.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83825" w14:textId="68A1FD62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EB83" w14:textId="29827B6F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Скорректировано во всех материалах схемы теплоснабжения</w:t>
            </w:r>
          </w:p>
        </w:tc>
      </w:tr>
      <w:tr w:rsidR="00991F1F" w:rsidRPr="00424216" w14:paraId="5C62680A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288F2" w14:textId="0DC61B35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C7B1D" w14:textId="040E777B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E127" w14:textId="3A0A5824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стр. 11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951EF" w14:textId="39E4283B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 xml:space="preserve">Основные различия между варианта: </w:t>
            </w: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br/>
              <w:t>• • переключение тепловой нагрузки действующей котельной "Завод "Свободный Сокол" МУП "</w:t>
            </w:r>
            <w:proofErr w:type="spellStart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Липецктеплосеть</w:t>
            </w:r>
            <w:proofErr w:type="spellEnd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" в Варианте № 1 предполагается выполнить на новую БМК «Свободный Сокол», в Варианте № 2 – на котельную "</w:t>
            </w:r>
            <w:proofErr w:type="spellStart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ЮгоЗападная</w:t>
            </w:r>
            <w:proofErr w:type="spellEnd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" Филиал ПАО "Квадра" - "Липецкая генерация";</w:t>
            </w: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Вариант № 1 предполагает сохранение существующих систем теплоснабжения котельных "Привокзальная", "Угловая", "Улица Семашко, д. 10" Филиал ПАО "Квадра" - "Липецкая генерация", в Вариант № 2 предусмотрены мероприятия по переключению </w:t>
            </w: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котельных "Угловая", "Улица Семашко, д. 10" и части </w:t>
            </w:r>
            <w:proofErr w:type="spellStart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потре-бителей</w:t>
            </w:r>
            <w:proofErr w:type="spellEnd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котельной "Привокзальная" на ТЭЦ-2. </w:t>
            </w: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br/>
              <w:t>Переработать текст, не соответствует проработанным вариантам.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92393" w14:textId="00E84065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B1DE" w14:textId="68FB17D0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Ошибка в описании Варианта № 2 устранена: вместо котельной "Свободный Сокол" указана котельная "</w:t>
            </w:r>
            <w:proofErr w:type="spellStart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Центроли</w:t>
            </w:r>
            <w:proofErr w:type="spellEnd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".</w:t>
            </w: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br/>
              <w:t>Закрытие котельных "Угловая" и "Семашко" исключено из Варианта № 2</w:t>
            </w:r>
          </w:p>
        </w:tc>
      </w:tr>
      <w:tr w:rsidR="00991F1F" w:rsidRPr="00424216" w14:paraId="13DD7F46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E3208" w14:textId="03CD7E74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2340C" w14:textId="7D78D8B1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93B6" w14:textId="201DF31E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стр. 18, таблица 3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A7C6" w14:textId="275872AC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 xml:space="preserve">по мероприятию [001.02.03.378] скорректировать источник финансирования на «прочий»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F3E07" w14:textId="1FB99DA7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9058" w14:textId="2EE1C731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Указано прочие собственные средства</w:t>
            </w:r>
          </w:p>
        </w:tc>
      </w:tr>
      <w:tr w:rsidR="00991F1F" w:rsidRPr="00424216" w14:paraId="6E01EA17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86B49" w14:textId="26A36D22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8949A" w14:textId="669E6C05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C3EB" w14:textId="66A2DE45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стр. 22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DE64" w14:textId="1135F0D5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• в 2024 году закрытие котельной «Улица Октябрьская, д. 51 б» филиал ПАО «Квадра» «Липецкая генерация» с переключением тепловой нагрузки на ТЭЦ-2 филиал ПАО «Квадра» «Липецкая генерация»;</w:t>
            </w: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br/>
              <w:t>Замечание: переформулировать закрытие котельной в перевод котельной в режим работы насосной станции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9A23B" w14:textId="5D64E734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Не 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18D99" w14:textId="0306AF34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На 2024 г. приведено значение, утвержденное Управлением энергетики и тарифов Липецкой области</w:t>
            </w:r>
          </w:p>
        </w:tc>
      </w:tr>
      <w:tr w:rsidR="00991F1F" w:rsidRPr="00424216" w14:paraId="1FFC3F2F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E6772" w14:textId="327C144A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35A41" w14:textId="5D232FC7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414A" w14:textId="29ECCE6B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Таблица 6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66E8" w14:textId="7CB7B2A3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Источник финансирования амортизация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3C6DF" w14:textId="2E4D1A44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24C5" w14:textId="5EF570B4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Источник финансирования изменен на "Амортизация"</w:t>
            </w:r>
          </w:p>
        </w:tc>
      </w:tr>
      <w:tr w:rsidR="00991F1F" w:rsidRPr="00424216" w14:paraId="3FBAAE53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7F40F" w14:textId="08F1869B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AA3CF" w14:textId="34C59A49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B3D86" w14:textId="1BBCC248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стр. 30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2B27" w14:textId="3375FCE1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• переключение тепловой нагрузки действующей котельной "Завод "Свободный Сокол" МУП "</w:t>
            </w:r>
            <w:proofErr w:type="spellStart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Липецктеплосеть</w:t>
            </w:r>
            <w:proofErr w:type="spellEnd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" на котельную "</w:t>
            </w:r>
            <w:proofErr w:type="spellStart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ЮгоЗападная</w:t>
            </w:r>
            <w:proofErr w:type="spellEnd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" Филиал ПАО "Квадра" - "Липецкая генерация";</w:t>
            </w: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br/>
              <w:t>• переключение тепловой нагрузки котельных "Угловая", "Улица Семашко, д. 10" и части потребителей котельной "Привокзальная" на ТЭЦ-2.</w:t>
            </w: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br/>
              <w:t>Замечание: переработать текст, не соответствует действительности.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8391A" w14:textId="50730A78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94A8" w14:textId="6865896A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Ошибка в описании Варианта № 2 устранена: вместо котельной "Свободный Сокол" указана котельная "</w:t>
            </w:r>
            <w:proofErr w:type="spellStart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Центроли</w:t>
            </w:r>
            <w:proofErr w:type="spellEnd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".</w:t>
            </w: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br/>
              <w:t>Закрытие котельных "Угловая" и "Семашко" исключено из Варианта № 2</w:t>
            </w:r>
          </w:p>
        </w:tc>
      </w:tr>
      <w:tr w:rsidR="00991F1F" w:rsidRPr="00424216" w14:paraId="29094700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E6FF4" w14:textId="1A558FF6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9E09F" w14:textId="5F808BC9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B0CB4" w14:textId="617F796E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Таблица 10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202C" w14:textId="726261E0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Проверить корректность указанных диаметров сущ. И перспективных. </w:t>
            </w:r>
            <w:proofErr w:type="gramStart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Возможно</w:t>
            </w:r>
            <w:proofErr w:type="gramEnd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 xml:space="preserve"> они перепутаны местами.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5F619" w14:textId="4351C450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0D2D" w14:textId="32E5074E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Содержание таблицы переработано</w:t>
            </w:r>
          </w:p>
        </w:tc>
      </w:tr>
      <w:tr w:rsidR="00991F1F" w:rsidRPr="00424216" w14:paraId="7F6DC8CC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581B2" w14:textId="175617CD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7A6E" w14:textId="5CDBCC7E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B5F6" w14:textId="7740E060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Таблица 10, 13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7CB4" w14:textId="0EECC494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Источник финансирования мероприятия по переключению кот. Октябрьская – амортизация.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7D32B" w14:textId="2C3E256D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E0ED" w14:textId="672EA142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Источник финансирования изменен на "Амортизация"</w:t>
            </w:r>
          </w:p>
        </w:tc>
      </w:tr>
      <w:tr w:rsidR="00991F1F" w:rsidRPr="00424216" w14:paraId="5FD506EC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3F1C" w14:textId="02ED58F1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AD888" w14:textId="6679C19B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BE8F" w14:textId="68055005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Таблица 18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5608" w14:textId="2EDBB233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в 1 варианте ЕТО№1 не верно указан простой срок окупаемости. В той же таблице по варианту 2 не корректно прописаны выводы (перепроверить и скорректировать)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941D3" w14:textId="3D5014F6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4272" w14:textId="4440F151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Содержание таблицы переработано</w:t>
            </w:r>
          </w:p>
        </w:tc>
      </w:tr>
      <w:tr w:rsidR="00991F1F" w:rsidRPr="00424216" w14:paraId="0B369C72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78127" w14:textId="0A768300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25A7C" w14:textId="7F8C50EB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0C0E" w14:textId="450930DF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Таблица 8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5A17" w14:textId="0CA4AB43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Резервы и дефициты по договорной и фактической тепловой нагрузке существующих систем теплоснабжения. Уточнить по какой установленной тепловой мощности рассчитан резерв на ЛТЭЦ-2. Установленная тепловая мощность в горячей воде на ЛТЭЦ-2 составляет 600 Гкал/ч. Остальная установленная мощность в паре.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1F881" w14:textId="244AF16C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1FAB" w14:textId="6A1C8C08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Расчет резерва и дефицита скорректирован</w:t>
            </w:r>
          </w:p>
        </w:tc>
      </w:tr>
      <w:tr w:rsidR="00991F1F" w:rsidRPr="00424216" w14:paraId="1A71D219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C7EAB" w14:textId="6434F9E7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43F9F" w14:textId="5F63FB71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10, 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A2A9" w14:textId="19B206CE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Таблица 2, 3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F672" w14:textId="5DBBBDC3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В таблице 2 «Тарифно-балансовая модель ЕТО №1. Производство тепловой энергии котельными ПАО «Квадра» - «Липецкая генерация» главы 14. отпуск тепловой энергии от котельных г. Липецка на 2024 не соответствует аналогичному показателю, отраженному в главе 10 "Перспективные топливные балансы" в таблице 3 год в размере 1 990,081 тыс. Гкал. Необходимо привести в соответствие.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87770" w14:textId="066BD323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Не исправлено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DF9F" w14:textId="718F8B67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На 2024 г. приведено значение, утвержденное Управлением энергетики и тарифов Липецкой области</w:t>
            </w:r>
          </w:p>
        </w:tc>
      </w:tr>
      <w:tr w:rsidR="00991F1F" w:rsidRPr="00424216" w14:paraId="184BA121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5BBF6" w14:textId="2AE3D645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88CA8" w14:textId="019FE59E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DD07" w14:textId="6E389BFD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Таблица 5</w:t>
            </w:r>
          </w:p>
        </w:tc>
        <w:tc>
          <w:tcPr>
            <w:tcW w:w="1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20C5" w14:textId="0CC51E98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 xml:space="preserve">В главе 14. в таблице 5 «Баланс тепловой энергии ЕТО №1 (обобщенные данные)» искажены фактические данные баланса тепловой энергии за период 2018-2022 гг., утвержденного плана </w:t>
            </w: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2023 г. и плана 2024 года. Корректные данные представлены в Приложении 1. Необходимо привести в соответствие.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A0D7D" w14:textId="0133589B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Исправлено частично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7225" w14:textId="29DAEC4E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 xml:space="preserve">В таблице за период с 2018 по 2023 годы указаны цифры АО "Квадра". За 2024 г. указана </w:t>
            </w:r>
            <w:proofErr w:type="spellStart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велична</w:t>
            </w:r>
            <w:proofErr w:type="spellEnd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 xml:space="preserve">, утвержденная Управлением энергетики и тарифов </w:t>
            </w: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Липецкой области</w:t>
            </w:r>
          </w:p>
        </w:tc>
      </w:tr>
    </w:tbl>
    <w:p w14:paraId="32000924" w14:textId="77777777" w:rsidR="009D5635" w:rsidRDefault="009D5635" w:rsidP="00C60135">
      <w:pPr>
        <w:pStyle w:val="afff3"/>
        <w:ind w:firstLine="0"/>
        <w:rPr>
          <w:color w:val="auto"/>
        </w:rPr>
      </w:pPr>
    </w:p>
    <w:p w14:paraId="7DAED826" w14:textId="6AB68109" w:rsidR="00991F1F" w:rsidRPr="009D5635" w:rsidRDefault="00991F1F" w:rsidP="00991F1F">
      <w:pPr>
        <w:pStyle w:val="affa"/>
      </w:pPr>
      <w:bookmarkStart w:id="19" w:name="_Ref143018846"/>
      <w:r w:rsidRPr="009D5635">
        <w:t xml:space="preserve">Таблица </w:t>
      </w:r>
      <w:fldSimple w:instr=" SEQ Таблица \* ARABIC ">
        <w:r w:rsidR="00B37559">
          <w:rPr>
            <w:noProof/>
          </w:rPr>
          <w:t>3</w:t>
        </w:r>
      </w:fldSimple>
      <w:bookmarkEnd w:id="19"/>
      <w:r w:rsidRPr="009D5635">
        <w:t xml:space="preserve">. Учет замечаний и предложений от </w:t>
      </w:r>
      <w:r>
        <w:t>МУП «</w:t>
      </w:r>
      <w:proofErr w:type="spellStart"/>
      <w:r>
        <w:t>Липецктеплосеть</w:t>
      </w:r>
      <w:proofErr w:type="spellEnd"/>
      <w:r>
        <w:t>»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0"/>
        <w:gridCol w:w="1124"/>
        <w:gridCol w:w="1540"/>
        <w:gridCol w:w="5056"/>
        <w:gridCol w:w="1136"/>
        <w:gridCol w:w="5806"/>
      </w:tblGrid>
      <w:tr w:rsidR="00991F1F" w:rsidRPr="00424216" w14:paraId="5949608F" w14:textId="77777777" w:rsidTr="00424216">
        <w:trPr>
          <w:trHeight w:val="20"/>
          <w:tblHeader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16C0" w14:textId="77777777" w:rsidR="00991F1F" w:rsidRPr="00424216" w:rsidRDefault="00991F1F" w:rsidP="008C7B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A1CA" w14:textId="77777777" w:rsidR="00991F1F" w:rsidRPr="00424216" w:rsidRDefault="00991F1F" w:rsidP="008C7B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 Главы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744A" w14:textId="77777777" w:rsidR="00991F1F" w:rsidRPr="00424216" w:rsidRDefault="00991F1F" w:rsidP="008C7B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Раздел, страница</w:t>
            </w:r>
          </w:p>
        </w:tc>
        <w:tc>
          <w:tcPr>
            <w:tcW w:w="1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ED4F" w14:textId="77777777" w:rsidR="00991F1F" w:rsidRPr="00424216" w:rsidRDefault="00991F1F" w:rsidP="008C7B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Замечания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D2E8" w14:textId="77777777" w:rsidR="00991F1F" w:rsidRPr="00424216" w:rsidRDefault="00991F1F" w:rsidP="008C7B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Отметка о </w:t>
            </w: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выполнении</w:t>
            </w:r>
          </w:p>
        </w:tc>
        <w:tc>
          <w:tcPr>
            <w:tcW w:w="1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D4A4" w14:textId="77777777" w:rsidR="00991F1F" w:rsidRPr="00424216" w:rsidRDefault="00991F1F" w:rsidP="008C7B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Комментарий разработчика</w:t>
            </w:r>
          </w:p>
        </w:tc>
      </w:tr>
      <w:tr w:rsidR="00991F1F" w:rsidRPr="00424216" w14:paraId="39FBD4B0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A24A4" w14:textId="7C96DDE4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877C" w14:textId="42CB772D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8D12" w14:textId="12A7E339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п.</w:t>
            </w:r>
            <w:proofErr w:type="gramStart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2.2..</w:t>
            </w:r>
            <w:proofErr w:type="gramEnd"/>
          </w:p>
        </w:tc>
        <w:tc>
          <w:tcPr>
            <w:tcW w:w="1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EAA1B" w14:textId="4DC4CE6F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В Направленном Вами отчете в п. 2.2. ЕТО №2 МУП «</w:t>
            </w:r>
            <w:proofErr w:type="spellStart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Липецктеплосеть</w:t>
            </w:r>
            <w:proofErr w:type="spellEnd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» начиная с таблицы 29 и далее отображена котельная «Школа № 41». Необходимо исключить данную котельную, так как она не находится в хоз. ведении МУП. Так же необходимо исключить котельную «Школа-интернат № 2», а взамен отобразить котельную БМК «Стратегия» (данные по котельной приложены).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09AFD" w14:textId="1230522B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92D6" w14:textId="62CCE6EE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 xml:space="preserve">Добавлено примечание к таблицам в следующей редакции: "** - Котельная по улице Арсеньева «Школа № 41» передана в хоз. ведение </w:t>
            </w:r>
            <w:proofErr w:type="spellStart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УОиН</w:t>
            </w:r>
            <w:proofErr w:type="spellEnd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 xml:space="preserve"> Липецкой области с 01.10.2022 г. (Исключена из ЕТО № 2)"</w:t>
            </w:r>
          </w:p>
        </w:tc>
      </w:tr>
      <w:tr w:rsidR="00991F1F" w:rsidRPr="00424216" w14:paraId="1EA500AA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B3F95" w14:textId="69C411D9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2E0DD" w14:textId="21EDA66C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5ECC" w14:textId="351648FD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69CA" w14:textId="32FADDE3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В таблицах с техническими характеристиками котлов по котельной «Электроаппарат» необходимо заменить марку двух котлов на новые (данные по котельной приложены).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2E45" w14:textId="5D1F2E58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D646" w14:textId="1041E0DB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Таблица скорректирована.</w:t>
            </w:r>
          </w:p>
        </w:tc>
      </w:tr>
      <w:tr w:rsidR="00991F1F" w:rsidRPr="00424216" w14:paraId="5CB47536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74D4E" w14:textId="4A5BE0D7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D711F" w14:textId="41CD632F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6630" w14:textId="7F62DC0F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стр. 84, раздел 2.2.15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148F" w14:textId="0EA1316D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на стр. 84 в п. 2.2.15. добавить п. 2 в следующей редакции: в 2022 г. введена в эксплуатацию новая БМК «Стратегия» взамен котельной «Школа-интернат № 2».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B729D" w14:textId="58F1CD61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C183" w14:textId="4F60F793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Абзац скорректирован в следующей редакции: "В 2022 г. введена в эксплуатацию новая БМК «Стратегия» взамен котельной «Школа-интернат №2»."</w:t>
            </w:r>
          </w:p>
        </w:tc>
      </w:tr>
      <w:tr w:rsidR="00991F1F" w:rsidRPr="00424216" w14:paraId="24499077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1826B" w14:textId="5606AD79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508A1" w14:textId="5939EA73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E672" w14:textId="1DE42269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стр. 97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9B13" w14:textId="5408C772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На стр. 97 исправить 5 паровых котельных на 4 паровых котельных;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304E3" w14:textId="6FD84E2E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6243" w14:textId="583C3EE2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Абзац скорректирован в следующей редакции: "Горячая вода и пар отпускаются четырьмя котельными МУП «</w:t>
            </w:r>
            <w:proofErr w:type="spellStart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Липецктеплосеть</w:t>
            </w:r>
            <w:proofErr w:type="spellEnd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»: «Поселок Дачный», «Улица Механизаторов, д. 21», «МСЧ «Свободный Сокол», «Акушерский корпус»."</w:t>
            </w:r>
          </w:p>
        </w:tc>
      </w:tr>
      <w:tr w:rsidR="00991F1F" w:rsidRPr="00424216" w14:paraId="01D88A6C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7DCD4" w14:textId="1A454DD4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8250" w14:textId="6FC77CCE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13F9" w14:textId="530BCCEB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Таблица 49, 50, 51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1A49" w14:textId="06C1245F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В таблицах 49, 50, 51 исключить котельные «Завод Св. Сокол» и «Школа-интернат №2», так паровые сети от данных котельных отсутствуют;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B52C3" w14:textId="3A9D118D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E06C" w14:textId="36B71B2D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Таблицы скорректированы.</w:t>
            </w:r>
          </w:p>
        </w:tc>
      </w:tr>
      <w:tr w:rsidR="00991F1F" w:rsidRPr="00424216" w14:paraId="529DD91D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F756" w14:textId="299A55BB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EAD35" w14:textId="20D7AC3F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939D" w14:textId="0CF7A10A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69AD8" w14:textId="12E9C04C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Указать на схеме расположения источников тепловой энергии (рис. 3.1.) котельную БМК «Стратегия»;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F1BC5" w14:textId="2C82D7E9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4377" w14:textId="32A1D73E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Рисунок скорректирован</w:t>
            </w:r>
          </w:p>
        </w:tc>
      </w:tr>
      <w:tr w:rsidR="00991F1F" w:rsidRPr="00424216" w14:paraId="35AB2D4C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EFFD0" w14:textId="05CB37F3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8839D" w14:textId="602E1142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DE898" w14:textId="625902B7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Таблица 56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0B86E" w14:textId="0BCA1C59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В таблице 56 вместо котельной «Школа-интернат №2» отобразить данные по котельной БМК «Стратегия»;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02A0D" w14:textId="63AE2B17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299D" w14:textId="2BB80A5E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Таблицы скорректированы.</w:t>
            </w:r>
          </w:p>
        </w:tc>
      </w:tr>
      <w:tr w:rsidR="00991F1F" w:rsidRPr="00424216" w14:paraId="33FBA841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59E78" w14:textId="4E727909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D1D9D" w14:textId="189A33A6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D679" w14:textId="6EBC37ED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стр. 140 таблица 64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1A08D" w14:textId="45BA6A05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В таблице 64, стр. 140 исправить насосную станцию котельной «Центролит» на насосную станцию котельной «Завод Свободный Сокол»;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8E45C" w14:textId="1B822373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A4E4" w14:textId="6A96C040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Таблица скорректирована.</w:t>
            </w:r>
          </w:p>
        </w:tc>
      </w:tr>
      <w:tr w:rsidR="00991F1F" w:rsidRPr="00424216" w14:paraId="7201B897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28EF8" w14:textId="345A5069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39344" w14:textId="07CB9AF9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6301" w14:textId="2904F93B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Таблица 79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0C42" w14:textId="3EDA1DCE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В таблице 79 вместо котельной «Школа-интернат №2» прописать данные по котельной «Стратегия»;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1339" w14:textId="50B64BB7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43FB" w14:textId="7C838A30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Таблицы скорректированы.</w:t>
            </w:r>
          </w:p>
        </w:tc>
      </w:tr>
      <w:tr w:rsidR="00991F1F" w:rsidRPr="00424216" w14:paraId="6026BDE4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372D7" w14:textId="5D59440E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970DB" w14:textId="4494A73A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57B9" w14:textId="15E02341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п.3.18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5010" w14:textId="52B53D85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В п. 3.18. «Анализ работы диспетчерской службы...» указать следующие котельные, работающие в автономном режиме: Липецкие узоры, Школа № 22, Школа № 16, Школа № 26, БМК Ковалева, 109а, БМК Известковая, 2в, БМК Ковалева, 107д, БМК Стратегия;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95951" w14:textId="0E05E70B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5AA9" w14:textId="137D4EAA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Абзац скорректирован в следующей редакции: "Девять котельных - «Липецкие узоры», «Школа №22», «Школа №16», «Школа № 26», БМК «Ковалева, 109а», БМК «Арсеньева» («Школа № 41»), БМК «Известковая, 2в» («Эн-</w:t>
            </w:r>
            <w:proofErr w:type="spellStart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гельса</w:t>
            </w:r>
            <w:proofErr w:type="spellEnd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 xml:space="preserve">»), БМК «Стратегия» и БМК «Ковалева, 107д» работают в автономном режиме по «безлюдной» технологии и интегрированы в Систему Диспетчеризации Малых </w:t>
            </w: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Газовых Ко-тельных (СД МГК)."</w:t>
            </w:r>
          </w:p>
        </w:tc>
      </w:tr>
      <w:tr w:rsidR="00991F1F" w:rsidRPr="00424216" w14:paraId="7BC46A8B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FAC05" w14:textId="493F960A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70DA4" w14:textId="276BE602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0D8B" w14:textId="7163B589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п.3.19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537A" w14:textId="19384EAB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В п. 3.19. по МУП исправить 2 насосные станции на 1;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E6230" w14:textId="202EC061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905E" w14:textId="3C96FCF0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Абзац скорректирован в следующей редакции: "В г. Липецк на тепловых сетях установлены 39 ЦТП и 10 насосных станций: 34 ЦТП и 8 насосных станций обслуживаются ПАО «Квадра»; 5 ЦТП и 1 насосная станция обслуживается МУП «</w:t>
            </w:r>
            <w:proofErr w:type="spellStart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Липецктеплосеть</w:t>
            </w:r>
            <w:proofErr w:type="spellEnd"/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»."</w:t>
            </w:r>
          </w:p>
        </w:tc>
      </w:tr>
      <w:tr w:rsidR="00991F1F" w:rsidRPr="00424216" w14:paraId="50D47961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85533" w14:textId="077269C5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9655C" w14:textId="4B50513B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6079" w14:textId="634913C8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п.4.2.19 и п.4.2.24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EAEE" w14:textId="0588C736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Исключить п. 4.2.19. и п. 4.2.24. (зоны действия котельных «Школа-интернат № 2» и БМК по ул. Арсеньева) и добавить зону действия котельной БМК «Стратегия»;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098BB" w14:textId="6B4F1724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029E7" w14:textId="5437A694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В раздел 4 п.4.2. добавлена зона действия БМК "Стратегия".</w:t>
            </w:r>
          </w:p>
        </w:tc>
      </w:tr>
      <w:tr w:rsidR="00991F1F" w:rsidRPr="00424216" w14:paraId="67F89E59" w14:textId="77777777" w:rsidTr="00424216">
        <w:trPr>
          <w:trHeight w:val="2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15ED3" w14:textId="75FE682F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F7D4D" w14:textId="3BEFCCE9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Глава 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B2BD" w14:textId="7994C79B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DD3F" w14:textId="5BBA71A7" w:rsidR="00991F1F" w:rsidRPr="00424216" w:rsidRDefault="00991F1F" w:rsidP="00991F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Также необходимо указать в схеме теплоснабжения, что котельная «Космонавтов, 36/4» переоборудована в ЦТП, дата ввода в эксплуатацию 2023 г.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B7289" w14:textId="1AA706AF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Исправлено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B189" w14:textId="14B83A73" w:rsidR="00991F1F" w:rsidRPr="00424216" w:rsidRDefault="00991F1F" w:rsidP="00991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24216">
              <w:rPr>
                <w:rFonts w:ascii="Arial" w:hAnsi="Arial" w:cs="Arial"/>
                <w:color w:val="000000"/>
                <w:sz w:val="18"/>
                <w:szCs w:val="18"/>
              </w:rPr>
              <w:t>Добавлено примечание к таблицам в следующей редакции: "* - Котельная «Улица Космонавтов, д. 36/4» переоборудована в ЦТП с переключением тепловой нагрузки на котельную «Привокзальная» филиала АО «Квадра» - «Липецкая генерация» с 23.09.2022."</w:t>
            </w:r>
          </w:p>
        </w:tc>
      </w:tr>
    </w:tbl>
    <w:p w14:paraId="6B42F606" w14:textId="77777777" w:rsidR="00991F1F" w:rsidRPr="009D5635" w:rsidRDefault="00991F1F" w:rsidP="00991F1F">
      <w:pPr>
        <w:pStyle w:val="afff3"/>
        <w:ind w:firstLine="0"/>
        <w:rPr>
          <w:color w:val="auto"/>
        </w:rPr>
      </w:pPr>
    </w:p>
    <w:p w14:paraId="5DA42867" w14:textId="77777777" w:rsidR="00991F1F" w:rsidRPr="009D5635" w:rsidRDefault="00991F1F" w:rsidP="00C60135">
      <w:pPr>
        <w:pStyle w:val="afff3"/>
        <w:ind w:firstLine="0"/>
        <w:rPr>
          <w:color w:val="auto"/>
        </w:rPr>
      </w:pPr>
    </w:p>
    <w:sectPr w:rsidR="00991F1F" w:rsidRPr="009D5635" w:rsidSect="00C60135">
      <w:pgSz w:w="16838" w:h="11906" w:orient="landscape"/>
      <w:pgMar w:top="1418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2A66D" w14:textId="77777777" w:rsidR="00046A08" w:rsidRDefault="00046A08" w:rsidP="00E57A3F">
      <w:pPr>
        <w:spacing w:line="240" w:lineRule="auto"/>
      </w:pPr>
      <w:r>
        <w:separator/>
      </w:r>
    </w:p>
  </w:endnote>
  <w:endnote w:type="continuationSeparator" w:id="0">
    <w:p w14:paraId="69BF48AD" w14:textId="77777777" w:rsidR="00046A08" w:rsidRDefault="00046A08" w:rsidP="00E57A3F">
      <w:pPr>
        <w:spacing w:line="240" w:lineRule="auto"/>
      </w:pPr>
      <w:r>
        <w:continuationSeparator/>
      </w:r>
    </w:p>
  </w:endnote>
  <w:endnote w:type="continuationNotice" w:id="1">
    <w:p w14:paraId="344001D9" w14:textId="77777777" w:rsidR="00046A08" w:rsidRDefault="00046A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D291A" w14:textId="77777777" w:rsidR="00046A08" w:rsidRPr="00EF1BD4" w:rsidRDefault="00046A08" w:rsidP="00152EDF">
    <w:pPr>
      <w:pStyle w:val="aff"/>
      <w:rPr>
        <w:rStyle w:val="afff2"/>
      </w:rPr>
    </w:pPr>
    <w:r w:rsidRPr="00EF1BD4">
      <w:rPr>
        <w:rStyle w:val="afff2"/>
      </w:rPr>
      <w:fldChar w:fldCharType="begin"/>
    </w:r>
    <w:r w:rsidRPr="00EF1BD4">
      <w:rPr>
        <w:rStyle w:val="afff2"/>
      </w:rPr>
      <w:instrText xml:space="preserve">PAGE  </w:instrText>
    </w:r>
    <w:r w:rsidRPr="00EF1BD4">
      <w:rPr>
        <w:rStyle w:val="afff2"/>
      </w:rPr>
      <w:fldChar w:fldCharType="separate"/>
    </w:r>
    <w:r w:rsidRPr="00EF1BD4">
      <w:rPr>
        <w:rStyle w:val="afff2"/>
        <w:noProof/>
      </w:rPr>
      <w:t>144</w:t>
    </w:r>
    <w:r w:rsidRPr="00EF1BD4">
      <w:rPr>
        <w:rStyle w:val="afff2"/>
      </w:rPr>
      <w:fldChar w:fldCharType="end"/>
    </w:r>
  </w:p>
  <w:p w14:paraId="4D8EA0E9" w14:textId="77777777" w:rsidR="00046A08" w:rsidRDefault="00046A08" w:rsidP="00152EDF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9392380"/>
      <w:docPartObj>
        <w:docPartGallery w:val="Page Numbers (Bottom of Page)"/>
        <w:docPartUnique/>
      </w:docPartObj>
    </w:sdtPr>
    <w:sdtEndPr/>
    <w:sdtContent>
      <w:p w14:paraId="2733D21D" w14:textId="77777777" w:rsidR="00046A08" w:rsidRDefault="00046A08">
        <w:pPr>
          <w:pStyle w:val="af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919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81286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D13C8DF" w14:textId="77777777" w:rsidR="00B37559" w:rsidRPr="00EC48E4" w:rsidRDefault="00B37559" w:rsidP="00EC48E4">
        <w:pPr>
          <w:pStyle w:val="a8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t>5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02216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1C48C90" w14:textId="77777777" w:rsidR="00046A08" w:rsidRPr="00EC48E4" w:rsidRDefault="00046A08" w:rsidP="00EC48E4">
        <w:pPr>
          <w:pStyle w:val="a8"/>
          <w:jc w:val="right"/>
          <w:rPr>
            <w:rFonts w:ascii="Arial" w:hAnsi="Arial" w:cs="Arial"/>
          </w:rPr>
        </w:pPr>
        <w:r w:rsidRPr="00EC48E4">
          <w:rPr>
            <w:rFonts w:ascii="Arial" w:hAnsi="Arial" w:cs="Arial"/>
          </w:rPr>
          <w:fldChar w:fldCharType="begin"/>
        </w:r>
        <w:r w:rsidRPr="00EC48E4">
          <w:rPr>
            <w:rFonts w:ascii="Arial" w:hAnsi="Arial" w:cs="Arial"/>
          </w:rPr>
          <w:instrText>PAGE   \* MERGEFORMAT</w:instrText>
        </w:r>
        <w:r w:rsidRPr="00EC48E4">
          <w:rPr>
            <w:rFonts w:ascii="Arial" w:hAnsi="Arial" w:cs="Arial"/>
          </w:rPr>
          <w:fldChar w:fldCharType="separate"/>
        </w:r>
        <w:r w:rsidR="00400919">
          <w:rPr>
            <w:rFonts w:ascii="Arial" w:hAnsi="Arial" w:cs="Arial"/>
          </w:rPr>
          <w:t>5</w:t>
        </w:r>
        <w:r w:rsidRPr="00EC48E4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C397A" w14:textId="77777777" w:rsidR="00046A08" w:rsidRDefault="00046A08" w:rsidP="00E57A3F">
      <w:pPr>
        <w:spacing w:line="240" w:lineRule="auto"/>
      </w:pPr>
      <w:r>
        <w:separator/>
      </w:r>
    </w:p>
  </w:footnote>
  <w:footnote w:type="continuationSeparator" w:id="0">
    <w:p w14:paraId="4DA950FA" w14:textId="77777777" w:rsidR="00046A08" w:rsidRDefault="00046A08" w:rsidP="00E57A3F">
      <w:pPr>
        <w:spacing w:line="240" w:lineRule="auto"/>
      </w:pPr>
      <w:r>
        <w:continuationSeparator/>
      </w:r>
    </w:p>
  </w:footnote>
  <w:footnote w:type="continuationNotice" w:id="1">
    <w:p w14:paraId="20F086AD" w14:textId="77777777" w:rsidR="00046A08" w:rsidRDefault="00046A0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80B23"/>
    <w:multiLevelType w:val="hybridMultilevel"/>
    <w:tmpl w:val="6BFC2FD2"/>
    <w:lvl w:ilvl="0" w:tplc="16FE6D24">
      <w:start w:val="1"/>
      <w:numFmt w:val="bullet"/>
      <w:pStyle w:val="a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876AF2"/>
    <w:multiLevelType w:val="multilevel"/>
    <w:tmpl w:val="65606FEE"/>
    <w:lvl w:ilvl="0">
      <w:start w:val="1"/>
      <w:numFmt w:val="decimal"/>
      <w:pStyle w:val="1"/>
      <w:lvlText w:val="%1."/>
      <w:lvlJc w:val="left"/>
      <w:pPr>
        <w:ind w:left="930" w:hanging="363"/>
      </w:pPr>
      <w:rPr>
        <w:rFonts w:hint="default"/>
      </w:rPr>
    </w:lvl>
    <w:lvl w:ilvl="1">
      <w:start w:val="1"/>
      <w:numFmt w:val="decimal"/>
      <w:pStyle w:val="11"/>
      <w:isLgl/>
      <w:lvlText w:val="%1.%2."/>
      <w:lvlJc w:val="left"/>
      <w:pPr>
        <w:ind w:left="930" w:hanging="363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2">
      <w:start w:val="1"/>
      <w:numFmt w:val="decimal"/>
      <w:pStyle w:val="111"/>
      <w:isLgl/>
      <w:lvlText w:val="%1.%2.%3."/>
      <w:lvlJc w:val="left"/>
      <w:pPr>
        <w:ind w:left="930" w:hanging="363"/>
      </w:pPr>
      <w:rPr>
        <w:rFonts w:hint="default"/>
      </w:rPr>
    </w:lvl>
    <w:lvl w:ilvl="3">
      <w:start w:val="1"/>
      <w:numFmt w:val="decimal"/>
      <w:pStyle w:val="1"/>
      <w:isLgl/>
      <w:lvlText w:val="%1.%2.%3.%4."/>
      <w:lvlJc w:val="left"/>
      <w:pPr>
        <w:tabs>
          <w:tab w:val="num" w:pos="567"/>
        </w:tabs>
        <w:ind w:left="930" w:hanging="363"/>
      </w:pPr>
      <w:rPr>
        <w:rFonts w:hint="default"/>
      </w:rPr>
    </w:lvl>
    <w:lvl w:ilvl="4">
      <w:start w:val="1"/>
      <w:numFmt w:val="decimal"/>
      <w:lvlRestart w:val="1"/>
      <w:isLgl/>
      <w:lvlText w:val="Рисунок %1-%5."/>
      <w:lvlJc w:val="left"/>
      <w:pPr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  <w:specVanish w:val="0"/>
      </w:rPr>
    </w:lvl>
    <w:lvl w:ilvl="5">
      <w:start w:val="1"/>
      <w:numFmt w:val="decimal"/>
      <w:isLgl/>
      <w:lvlText w:val="Таблица %1-%6."/>
      <w:lvlJc w:val="left"/>
      <w:pPr>
        <w:ind w:left="930" w:hanging="363"/>
      </w:pPr>
      <w:rPr>
        <w:rFonts w:hint="default"/>
        <w:b w:val="0"/>
        <w:i w:val="0"/>
      </w:rPr>
    </w:lvl>
    <w:lvl w:ilvl="6">
      <w:start w:val="1"/>
      <w:numFmt w:val="decimal"/>
      <w:isLgl/>
      <w:lvlText w:val="Таблица %1.%2-%7."/>
      <w:lvlJc w:val="left"/>
      <w:pPr>
        <w:ind w:left="647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7">
      <w:start w:val="1"/>
      <w:numFmt w:val="decimal"/>
      <w:isLgl/>
      <w:lvlText w:val="Таблица %1.%2.%3-%8."/>
      <w:lvlJc w:val="left"/>
      <w:pPr>
        <w:ind w:left="930" w:hanging="363"/>
      </w:pPr>
      <w:rPr>
        <w:rFonts w:hint="default"/>
      </w:rPr>
    </w:lvl>
    <w:lvl w:ilvl="8">
      <w:start w:val="1"/>
      <w:numFmt w:val="decimal"/>
      <w:isLgl/>
      <w:lvlText w:val="Таблица %1.%2.%3.%4-%9."/>
      <w:lvlJc w:val="left"/>
      <w:pPr>
        <w:ind w:left="930" w:hanging="363"/>
      </w:pPr>
      <w:rPr>
        <w:rFonts w:hint="default"/>
      </w:rPr>
    </w:lvl>
  </w:abstractNum>
  <w:abstractNum w:abstractNumId="2" w15:restartNumberingAfterBreak="0">
    <w:nsid w:val="28C002A6"/>
    <w:multiLevelType w:val="multilevel"/>
    <w:tmpl w:val="5F244C70"/>
    <w:lvl w:ilvl="0">
      <w:start w:val="1"/>
      <w:numFmt w:val="decimal"/>
      <w:pStyle w:val="10"/>
      <w:suff w:val="space"/>
      <w:lvlText w:val="Раздел %1."/>
      <w:lvlJc w:val="center"/>
      <w:pPr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.%2."/>
      <w:lvlJc w:val="center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suff w:val="space"/>
      <w:lvlText w:val="%1.%2.%3."/>
      <w:lvlJc w:val="center"/>
      <w:pPr>
        <w:ind w:left="568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Restart w:val="1"/>
      <w:suff w:val="space"/>
      <w:lvlText w:val="Рис. %1.%2.%4."/>
      <w:lvlJc w:val="center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Restart w:val="1"/>
      <w:suff w:val="space"/>
      <w:lvlText w:val="Таблица %1.%2.%5.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1"/>
      <w:pStyle w:val="4"/>
      <w:suff w:val="space"/>
      <w:lvlText w:val="%1.%2.%3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1AD7D67"/>
    <w:multiLevelType w:val="multilevel"/>
    <w:tmpl w:val="56F8CA3E"/>
    <w:lvl w:ilvl="0">
      <w:start w:val="1"/>
      <w:numFmt w:val="decimal"/>
      <w:pStyle w:val="a0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4" w15:restartNumberingAfterBreak="0">
    <w:nsid w:val="73780158"/>
    <w:multiLevelType w:val="multilevel"/>
    <w:tmpl w:val="9300E8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06736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9891041">
    <w:abstractNumId w:val="0"/>
  </w:num>
  <w:num w:numId="3" w16cid:durableId="1050424312">
    <w:abstractNumId w:val="3"/>
  </w:num>
  <w:num w:numId="4" w16cid:durableId="474682909">
    <w:abstractNumId w:val="4"/>
  </w:num>
  <w:num w:numId="5" w16cid:durableId="1008210588">
    <w:abstractNumId w:val="2"/>
    <w:lvlOverride w:ilvl="0">
      <w:lvl w:ilvl="0">
        <w:start w:val="1"/>
        <w:numFmt w:val="decimal"/>
        <w:pStyle w:val="10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6" w16cid:durableId="1946888028">
    <w:abstractNumId w:val="2"/>
    <w:lvlOverride w:ilvl="0">
      <w:lvl w:ilvl="0">
        <w:start w:val="1"/>
        <w:numFmt w:val="decimal"/>
        <w:pStyle w:val="10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7" w16cid:durableId="862279412">
    <w:abstractNumId w:val="2"/>
    <w:lvlOverride w:ilvl="0">
      <w:lvl w:ilvl="0">
        <w:start w:val="1"/>
        <w:numFmt w:val="decimal"/>
        <w:pStyle w:val="10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8" w16cid:durableId="1984386556">
    <w:abstractNumId w:val="2"/>
    <w:lvlOverride w:ilvl="0">
      <w:lvl w:ilvl="0">
        <w:start w:val="1"/>
        <w:numFmt w:val="decimal"/>
        <w:pStyle w:val="10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formatting="1" w:enforcement="0"/>
  <w:styleLockTheme/>
  <w:styleLockQFSet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510E"/>
    <w:rsid w:val="00001DE8"/>
    <w:rsid w:val="00002141"/>
    <w:rsid w:val="0000385B"/>
    <w:rsid w:val="00020877"/>
    <w:rsid w:val="00021165"/>
    <w:rsid w:val="0002206F"/>
    <w:rsid w:val="0002555A"/>
    <w:rsid w:val="00035FC9"/>
    <w:rsid w:val="00046A08"/>
    <w:rsid w:val="00052021"/>
    <w:rsid w:val="00052490"/>
    <w:rsid w:val="000544CA"/>
    <w:rsid w:val="000619B4"/>
    <w:rsid w:val="00067616"/>
    <w:rsid w:val="00080A28"/>
    <w:rsid w:val="000902CE"/>
    <w:rsid w:val="000B6A1D"/>
    <w:rsid w:val="000C58B1"/>
    <w:rsid w:val="000C735A"/>
    <w:rsid w:val="001007D8"/>
    <w:rsid w:val="00100B8D"/>
    <w:rsid w:val="00104780"/>
    <w:rsid w:val="00113093"/>
    <w:rsid w:val="0012341E"/>
    <w:rsid w:val="0013022E"/>
    <w:rsid w:val="00141824"/>
    <w:rsid w:val="00152EDF"/>
    <w:rsid w:val="0015385D"/>
    <w:rsid w:val="001616DD"/>
    <w:rsid w:val="00163917"/>
    <w:rsid w:val="0016510E"/>
    <w:rsid w:val="00170758"/>
    <w:rsid w:val="00171528"/>
    <w:rsid w:val="0017600B"/>
    <w:rsid w:val="00182945"/>
    <w:rsid w:val="001906C1"/>
    <w:rsid w:val="00194741"/>
    <w:rsid w:val="00197043"/>
    <w:rsid w:val="001C0700"/>
    <w:rsid w:val="001C07CD"/>
    <w:rsid w:val="001C2C41"/>
    <w:rsid w:val="001C7886"/>
    <w:rsid w:val="001C7E02"/>
    <w:rsid w:val="001E1510"/>
    <w:rsid w:val="001F1CDB"/>
    <w:rsid w:val="001F336E"/>
    <w:rsid w:val="001F6FCD"/>
    <w:rsid w:val="001F77AB"/>
    <w:rsid w:val="00200B7A"/>
    <w:rsid w:val="002111F5"/>
    <w:rsid w:val="002447F5"/>
    <w:rsid w:val="00276D80"/>
    <w:rsid w:val="00281A82"/>
    <w:rsid w:val="00282A22"/>
    <w:rsid w:val="002833D3"/>
    <w:rsid w:val="00293712"/>
    <w:rsid w:val="002A7F81"/>
    <w:rsid w:val="002B0C5D"/>
    <w:rsid w:val="002C2446"/>
    <w:rsid w:val="002D1374"/>
    <w:rsid w:val="002D197D"/>
    <w:rsid w:val="002E4867"/>
    <w:rsid w:val="002E7864"/>
    <w:rsid w:val="00311B57"/>
    <w:rsid w:val="00324C90"/>
    <w:rsid w:val="00342A74"/>
    <w:rsid w:val="00345BEB"/>
    <w:rsid w:val="00347E41"/>
    <w:rsid w:val="00371201"/>
    <w:rsid w:val="00390C1D"/>
    <w:rsid w:val="003A42E8"/>
    <w:rsid w:val="003A569E"/>
    <w:rsid w:val="003B34D9"/>
    <w:rsid w:val="003E5D54"/>
    <w:rsid w:val="004001BD"/>
    <w:rsid w:val="00400919"/>
    <w:rsid w:val="0042032E"/>
    <w:rsid w:val="00423037"/>
    <w:rsid w:val="00424216"/>
    <w:rsid w:val="00424892"/>
    <w:rsid w:val="0042685B"/>
    <w:rsid w:val="0043576C"/>
    <w:rsid w:val="004449B6"/>
    <w:rsid w:val="00452760"/>
    <w:rsid w:val="00464A94"/>
    <w:rsid w:val="00464E64"/>
    <w:rsid w:val="00467B9C"/>
    <w:rsid w:val="00482626"/>
    <w:rsid w:val="00483A6E"/>
    <w:rsid w:val="0048769B"/>
    <w:rsid w:val="00487E05"/>
    <w:rsid w:val="004937E3"/>
    <w:rsid w:val="00494DF3"/>
    <w:rsid w:val="004B37E1"/>
    <w:rsid w:val="004C0F03"/>
    <w:rsid w:val="004C718C"/>
    <w:rsid w:val="004D2C18"/>
    <w:rsid w:val="004D3AF5"/>
    <w:rsid w:val="00514DAB"/>
    <w:rsid w:val="005323E2"/>
    <w:rsid w:val="00533A20"/>
    <w:rsid w:val="0055240F"/>
    <w:rsid w:val="00564961"/>
    <w:rsid w:val="00573E10"/>
    <w:rsid w:val="00577FAE"/>
    <w:rsid w:val="00591071"/>
    <w:rsid w:val="0059260E"/>
    <w:rsid w:val="00596B38"/>
    <w:rsid w:val="00596C0C"/>
    <w:rsid w:val="005A2C62"/>
    <w:rsid w:val="005A36FF"/>
    <w:rsid w:val="005A5B6C"/>
    <w:rsid w:val="005A7B94"/>
    <w:rsid w:val="005C70FD"/>
    <w:rsid w:val="005D49D9"/>
    <w:rsid w:val="005E313B"/>
    <w:rsid w:val="005E37C3"/>
    <w:rsid w:val="00606918"/>
    <w:rsid w:val="0061335E"/>
    <w:rsid w:val="006205A4"/>
    <w:rsid w:val="006375BC"/>
    <w:rsid w:val="00650400"/>
    <w:rsid w:val="00651BB3"/>
    <w:rsid w:val="00651C59"/>
    <w:rsid w:val="00655C35"/>
    <w:rsid w:val="006703E0"/>
    <w:rsid w:val="00683698"/>
    <w:rsid w:val="00684E9B"/>
    <w:rsid w:val="006A2AFE"/>
    <w:rsid w:val="006A3FBC"/>
    <w:rsid w:val="006B4954"/>
    <w:rsid w:val="006C52FF"/>
    <w:rsid w:val="006C5675"/>
    <w:rsid w:val="006E5F7D"/>
    <w:rsid w:val="006F0B3C"/>
    <w:rsid w:val="006F769F"/>
    <w:rsid w:val="00704B46"/>
    <w:rsid w:val="0070707E"/>
    <w:rsid w:val="00717EA2"/>
    <w:rsid w:val="00723FE6"/>
    <w:rsid w:val="00727709"/>
    <w:rsid w:val="00754BB9"/>
    <w:rsid w:val="00757895"/>
    <w:rsid w:val="00773F52"/>
    <w:rsid w:val="007764B9"/>
    <w:rsid w:val="007876CC"/>
    <w:rsid w:val="00792458"/>
    <w:rsid w:val="00793F17"/>
    <w:rsid w:val="00795806"/>
    <w:rsid w:val="00796436"/>
    <w:rsid w:val="007A2640"/>
    <w:rsid w:val="007C479D"/>
    <w:rsid w:val="007E6445"/>
    <w:rsid w:val="007F38C3"/>
    <w:rsid w:val="007F556B"/>
    <w:rsid w:val="007F7447"/>
    <w:rsid w:val="007F7A6D"/>
    <w:rsid w:val="00801F11"/>
    <w:rsid w:val="0080215E"/>
    <w:rsid w:val="0080712B"/>
    <w:rsid w:val="0082670F"/>
    <w:rsid w:val="008323D6"/>
    <w:rsid w:val="0084617E"/>
    <w:rsid w:val="008517E7"/>
    <w:rsid w:val="008539C3"/>
    <w:rsid w:val="00856690"/>
    <w:rsid w:val="00870498"/>
    <w:rsid w:val="00880A7D"/>
    <w:rsid w:val="008824A9"/>
    <w:rsid w:val="00891F8B"/>
    <w:rsid w:val="008A0FF6"/>
    <w:rsid w:val="008A1624"/>
    <w:rsid w:val="008C3C21"/>
    <w:rsid w:val="008D7D7A"/>
    <w:rsid w:val="008E26A7"/>
    <w:rsid w:val="008E454F"/>
    <w:rsid w:val="008E7E2B"/>
    <w:rsid w:val="0090057D"/>
    <w:rsid w:val="00906553"/>
    <w:rsid w:val="00910113"/>
    <w:rsid w:val="009113CD"/>
    <w:rsid w:val="00911FF5"/>
    <w:rsid w:val="00923CC4"/>
    <w:rsid w:val="00927862"/>
    <w:rsid w:val="009328F7"/>
    <w:rsid w:val="009377F3"/>
    <w:rsid w:val="009477E5"/>
    <w:rsid w:val="00962EEE"/>
    <w:rsid w:val="00964C6C"/>
    <w:rsid w:val="009762E2"/>
    <w:rsid w:val="009808A9"/>
    <w:rsid w:val="00991F1F"/>
    <w:rsid w:val="009A0779"/>
    <w:rsid w:val="009A54BF"/>
    <w:rsid w:val="009B2B36"/>
    <w:rsid w:val="009C41D4"/>
    <w:rsid w:val="009D4689"/>
    <w:rsid w:val="009D5635"/>
    <w:rsid w:val="009D738A"/>
    <w:rsid w:val="009E15E1"/>
    <w:rsid w:val="009E231D"/>
    <w:rsid w:val="009F0689"/>
    <w:rsid w:val="00A03DC8"/>
    <w:rsid w:val="00A3156A"/>
    <w:rsid w:val="00A6115F"/>
    <w:rsid w:val="00A70534"/>
    <w:rsid w:val="00A72BF6"/>
    <w:rsid w:val="00A801EB"/>
    <w:rsid w:val="00A878F8"/>
    <w:rsid w:val="00AB52D4"/>
    <w:rsid w:val="00AD6D4A"/>
    <w:rsid w:val="00AF639F"/>
    <w:rsid w:val="00AF7946"/>
    <w:rsid w:val="00B05373"/>
    <w:rsid w:val="00B2707E"/>
    <w:rsid w:val="00B37559"/>
    <w:rsid w:val="00B43560"/>
    <w:rsid w:val="00B44694"/>
    <w:rsid w:val="00B52AF6"/>
    <w:rsid w:val="00B52C80"/>
    <w:rsid w:val="00B53515"/>
    <w:rsid w:val="00B54E93"/>
    <w:rsid w:val="00B54F01"/>
    <w:rsid w:val="00B64FE2"/>
    <w:rsid w:val="00B70260"/>
    <w:rsid w:val="00B713D5"/>
    <w:rsid w:val="00B8182F"/>
    <w:rsid w:val="00B87F1C"/>
    <w:rsid w:val="00B9094F"/>
    <w:rsid w:val="00B97ED7"/>
    <w:rsid w:val="00BA0209"/>
    <w:rsid w:val="00BA2B4A"/>
    <w:rsid w:val="00BB632E"/>
    <w:rsid w:val="00BC4D98"/>
    <w:rsid w:val="00BD2776"/>
    <w:rsid w:val="00BD5FCD"/>
    <w:rsid w:val="00BF28D8"/>
    <w:rsid w:val="00C15531"/>
    <w:rsid w:val="00C15CAE"/>
    <w:rsid w:val="00C17DBD"/>
    <w:rsid w:val="00C60135"/>
    <w:rsid w:val="00C71B34"/>
    <w:rsid w:val="00C81A1E"/>
    <w:rsid w:val="00C82822"/>
    <w:rsid w:val="00C850C5"/>
    <w:rsid w:val="00C852E0"/>
    <w:rsid w:val="00C92AD8"/>
    <w:rsid w:val="00CA51C3"/>
    <w:rsid w:val="00CB5574"/>
    <w:rsid w:val="00CB6F17"/>
    <w:rsid w:val="00CF092B"/>
    <w:rsid w:val="00D074E3"/>
    <w:rsid w:val="00D14A4E"/>
    <w:rsid w:val="00D15029"/>
    <w:rsid w:val="00D15CF9"/>
    <w:rsid w:val="00D218C4"/>
    <w:rsid w:val="00D36748"/>
    <w:rsid w:val="00D42C6A"/>
    <w:rsid w:val="00D52B39"/>
    <w:rsid w:val="00D56573"/>
    <w:rsid w:val="00D573ED"/>
    <w:rsid w:val="00D706D7"/>
    <w:rsid w:val="00D7592D"/>
    <w:rsid w:val="00D84CFB"/>
    <w:rsid w:val="00D943EF"/>
    <w:rsid w:val="00D97D2B"/>
    <w:rsid w:val="00DA42F5"/>
    <w:rsid w:val="00DA6F54"/>
    <w:rsid w:val="00DB22F8"/>
    <w:rsid w:val="00DB757C"/>
    <w:rsid w:val="00DC0082"/>
    <w:rsid w:val="00DC3048"/>
    <w:rsid w:val="00DC450E"/>
    <w:rsid w:val="00DC4AD0"/>
    <w:rsid w:val="00DC7858"/>
    <w:rsid w:val="00DD285C"/>
    <w:rsid w:val="00DD2E70"/>
    <w:rsid w:val="00DD47E0"/>
    <w:rsid w:val="00DD6062"/>
    <w:rsid w:val="00DE5E5A"/>
    <w:rsid w:val="00DE66D5"/>
    <w:rsid w:val="00DF64D3"/>
    <w:rsid w:val="00E374CD"/>
    <w:rsid w:val="00E503B0"/>
    <w:rsid w:val="00E57A3F"/>
    <w:rsid w:val="00E61E1E"/>
    <w:rsid w:val="00E64ED5"/>
    <w:rsid w:val="00EC48E4"/>
    <w:rsid w:val="00ED0FEE"/>
    <w:rsid w:val="00ED7103"/>
    <w:rsid w:val="00EE6ABD"/>
    <w:rsid w:val="00EE732F"/>
    <w:rsid w:val="00EE761C"/>
    <w:rsid w:val="00F12139"/>
    <w:rsid w:val="00F176C6"/>
    <w:rsid w:val="00F30D3D"/>
    <w:rsid w:val="00F42B57"/>
    <w:rsid w:val="00F60E13"/>
    <w:rsid w:val="00F72304"/>
    <w:rsid w:val="00F75DFB"/>
    <w:rsid w:val="00F856F2"/>
    <w:rsid w:val="00F8588E"/>
    <w:rsid w:val="00F928DE"/>
    <w:rsid w:val="00F97B74"/>
    <w:rsid w:val="00FC5970"/>
    <w:rsid w:val="00FD20DA"/>
    <w:rsid w:val="00FD534E"/>
    <w:rsid w:val="00FE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48BBB"/>
  <w15:docId w15:val="{FDA6F854-B459-4BEB-8C4F-A49F4ED11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4"/>
        <w:lang w:val="ru-RU" w:eastAsia="en-US" w:bidi="ar-SA"/>
      </w:rPr>
    </w:rPrDefault>
    <w:pPrDefault>
      <w:pPr>
        <w:spacing w:after="160"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C2C41"/>
    <w:pPr>
      <w:spacing w:line="259" w:lineRule="auto"/>
      <w:ind w:firstLine="0"/>
    </w:pPr>
    <w:rPr>
      <w:rFonts w:ascii="Times New Roman" w:hAnsi="Times New Roman"/>
      <w:szCs w:val="22"/>
    </w:rPr>
  </w:style>
  <w:style w:type="paragraph" w:styleId="10">
    <w:name w:val="heading 1"/>
    <w:aliases w:val="РАЗДЕЛ"/>
    <w:basedOn w:val="a1"/>
    <w:next w:val="a1"/>
    <w:link w:val="12"/>
    <w:qFormat/>
    <w:rsid w:val="00152EDF"/>
    <w:pPr>
      <w:widowControl w:val="0"/>
      <w:numPr>
        <w:numId w:val="8"/>
      </w:numPr>
      <w:spacing w:after="240" w:line="240" w:lineRule="auto"/>
      <w:jc w:val="center"/>
      <w:outlineLvl w:val="0"/>
    </w:pPr>
    <w:rPr>
      <w:rFonts w:ascii="Arial" w:eastAsiaTheme="majorEastAsia" w:hAnsi="Arial" w:cs="Arial"/>
      <w:b/>
      <w:bCs/>
      <w:kern w:val="32"/>
      <w:sz w:val="28"/>
      <w:szCs w:val="28"/>
      <w:lang w:eastAsia="ru-RU"/>
    </w:rPr>
  </w:style>
  <w:style w:type="paragraph" w:styleId="2">
    <w:name w:val="heading 2"/>
    <w:aliases w:val="ЗАГОЛОВОК 1.1"/>
    <w:basedOn w:val="a1"/>
    <w:next w:val="a1"/>
    <w:link w:val="20"/>
    <w:qFormat/>
    <w:rsid w:val="00152EDF"/>
    <w:pPr>
      <w:widowControl w:val="0"/>
      <w:numPr>
        <w:ilvl w:val="1"/>
        <w:numId w:val="8"/>
      </w:numPr>
      <w:spacing w:before="120" w:after="120" w:line="240" w:lineRule="auto"/>
      <w:jc w:val="center"/>
      <w:outlineLvl w:val="1"/>
    </w:pPr>
    <w:rPr>
      <w:rFonts w:ascii="Arial" w:eastAsia="TimesNewRoman" w:hAnsi="Arial" w:cs="Arial"/>
      <w:b/>
      <w:bCs/>
      <w:iCs/>
      <w:sz w:val="26"/>
      <w:szCs w:val="26"/>
      <w:lang w:eastAsia="ru-RU"/>
    </w:rPr>
  </w:style>
  <w:style w:type="paragraph" w:styleId="3">
    <w:name w:val="heading 3"/>
    <w:aliases w:val="ЗАГОЛОВОК 1.1.1"/>
    <w:basedOn w:val="a1"/>
    <w:next w:val="a1"/>
    <w:link w:val="30"/>
    <w:qFormat/>
    <w:rsid w:val="00152EDF"/>
    <w:pPr>
      <w:widowControl w:val="0"/>
      <w:numPr>
        <w:ilvl w:val="2"/>
        <w:numId w:val="8"/>
      </w:numPr>
      <w:spacing w:before="120" w:after="120" w:line="240" w:lineRule="auto"/>
      <w:jc w:val="center"/>
      <w:outlineLvl w:val="2"/>
    </w:pPr>
    <w:rPr>
      <w:rFonts w:ascii="Arial" w:eastAsia="Calibri" w:hAnsi="Arial" w:cs="Arial"/>
      <w:b/>
      <w:bCs/>
      <w:lang w:eastAsia="ru-RU"/>
    </w:rPr>
  </w:style>
  <w:style w:type="paragraph" w:styleId="4">
    <w:name w:val="heading 4"/>
    <w:aliases w:val="ЗАГОЛОВОК 1.1.1.1"/>
    <w:basedOn w:val="a1"/>
    <w:next w:val="a1"/>
    <w:link w:val="40"/>
    <w:unhideWhenUsed/>
    <w:qFormat/>
    <w:rsid w:val="00152EDF"/>
    <w:pPr>
      <w:keepNext/>
      <w:keepLines/>
      <w:numPr>
        <w:ilvl w:val="5"/>
        <w:numId w:val="8"/>
      </w:numPr>
      <w:spacing w:before="120" w:after="120" w:line="240" w:lineRule="auto"/>
      <w:jc w:val="center"/>
      <w:outlineLvl w:val="3"/>
    </w:pPr>
    <w:rPr>
      <w:rFonts w:ascii="Arial" w:eastAsiaTheme="majorEastAsia" w:hAnsi="Arial" w:cs="Arial"/>
      <w:b/>
      <w:bCs/>
      <w:iCs/>
      <w:sz w:val="22"/>
      <w:lang w:eastAsia="ru-RU"/>
    </w:rPr>
  </w:style>
  <w:style w:type="paragraph" w:styleId="5">
    <w:name w:val="heading 5"/>
    <w:next w:val="a1"/>
    <w:link w:val="50"/>
    <w:uiPriority w:val="9"/>
    <w:semiHidden/>
    <w:qFormat/>
    <w:rsid w:val="00DC7858"/>
    <w:pPr>
      <w:tabs>
        <w:tab w:val="left" w:pos="8647"/>
      </w:tabs>
      <w:spacing w:after="120" w:line="300" w:lineRule="auto"/>
      <w:ind w:left="930" w:hanging="363"/>
      <w:jc w:val="both"/>
      <w:outlineLvl w:val="4"/>
    </w:pPr>
    <w:rPr>
      <w:rFonts w:ascii="Times New Roman" w:eastAsiaTheme="majorEastAsia" w:hAnsi="Times New Roman" w:cstheme="majorBidi"/>
      <w:b/>
      <w:iCs/>
      <w:spacing w:val="5"/>
      <w:sz w:val="26"/>
    </w:rPr>
  </w:style>
  <w:style w:type="paragraph" w:styleId="6">
    <w:name w:val="heading 6"/>
    <w:next w:val="a1"/>
    <w:link w:val="60"/>
    <w:uiPriority w:val="9"/>
    <w:semiHidden/>
    <w:qFormat/>
    <w:rsid w:val="00DC7858"/>
    <w:pPr>
      <w:keepNext/>
      <w:keepLines/>
      <w:snapToGrid w:val="0"/>
      <w:spacing w:after="120" w:line="300" w:lineRule="auto"/>
      <w:ind w:left="930" w:hanging="363"/>
      <w:jc w:val="both"/>
      <w:outlineLvl w:val="5"/>
    </w:pPr>
    <w:rPr>
      <w:rFonts w:ascii="Times New Roman" w:eastAsiaTheme="majorEastAsia" w:hAnsi="Times New Roman" w:cstheme="majorBidi"/>
      <w:b/>
      <w:i/>
      <w:spacing w:val="5"/>
      <w:sz w:val="26"/>
    </w:rPr>
  </w:style>
  <w:style w:type="paragraph" w:styleId="7">
    <w:name w:val="heading 7"/>
    <w:next w:val="a1"/>
    <w:link w:val="70"/>
    <w:uiPriority w:val="9"/>
    <w:semiHidden/>
    <w:qFormat/>
    <w:rsid w:val="00DC7858"/>
    <w:pPr>
      <w:keepNext/>
      <w:keepLines/>
      <w:snapToGrid w:val="0"/>
      <w:spacing w:after="120" w:line="300" w:lineRule="auto"/>
      <w:ind w:left="647" w:hanging="363"/>
      <w:jc w:val="both"/>
      <w:outlineLvl w:val="6"/>
    </w:pPr>
    <w:rPr>
      <w:rFonts w:ascii="Times New Roman" w:eastAsiaTheme="majorEastAsia" w:hAnsi="Times New Roman" w:cstheme="majorBidi"/>
      <w:i/>
      <w:iCs/>
      <w:spacing w:val="-10"/>
      <w:sz w:val="28"/>
    </w:rPr>
  </w:style>
  <w:style w:type="paragraph" w:styleId="8">
    <w:name w:val="heading 8"/>
    <w:next w:val="a1"/>
    <w:link w:val="80"/>
    <w:uiPriority w:val="9"/>
    <w:semiHidden/>
    <w:qFormat/>
    <w:rsid w:val="00DC7858"/>
    <w:pPr>
      <w:snapToGrid w:val="0"/>
      <w:spacing w:before="40" w:after="0" w:line="300" w:lineRule="auto"/>
      <w:ind w:left="930" w:hanging="363"/>
      <w:jc w:val="both"/>
      <w:outlineLvl w:val="7"/>
    </w:pPr>
    <w:rPr>
      <w:rFonts w:ascii="Times New Roman" w:eastAsiaTheme="majorEastAsia" w:hAnsi="Times New Roman" w:cstheme="majorBidi"/>
      <w:sz w:val="28"/>
      <w:szCs w:val="21"/>
    </w:rPr>
  </w:style>
  <w:style w:type="paragraph" w:styleId="9">
    <w:name w:val="heading 9"/>
    <w:next w:val="a1"/>
    <w:link w:val="90"/>
    <w:uiPriority w:val="9"/>
    <w:semiHidden/>
    <w:qFormat/>
    <w:rsid w:val="00DC7858"/>
    <w:pPr>
      <w:keepLines/>
      <w:snapToGrid w:val="0"/>
      <w:spacing w:after="40" w:line="300" w:lineRule="auto"/>
      <w:ind w:left="930" w:hanging="363"/>
      <w:jc w:val="both"/>
      <w:outlineLvl w:val="8"/>
    </w:pPr>
    <w:rPr>
      <w:rFonts w:ascii="Times New Roman" w:eastAsiaTheme="minorEastAsia" w:hAnsi="Times New Roman"/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РАЗДЕЛ Знак"/>
    <w:link w:val="10"/>
    <w:rsid w:val="00152EDF"/>
    <w:rPr>
      <w:rFonts w:eastAsiaTheme="majorEastAsia" w:cs="Arial"/>
      <w:b/>
      <w:bCs/>
      <w:kern w:val="32"/>
      <w:sz w:val="28"/>
      <w:szCs w:val="28"/>
      <w:lang w:eastAsia="ru-RU"/>
    </w:rPr>
  </w:style>
  <w:style w:type="character" w:customStyle="1" w:styleId="20">
    <w:name w:val="Заголовок 2 Знак"/>
    <w:aliases w:val="ЗАГОЛОВОК 1.1 Знак"/>
    <w:link w:val="2"/>
    <w:rsid w:val="00152EDF"/>
    <w:rPr>
      <w:rFonts w:eastAsia="TimesNewRoman" w:cs="Arial"/>
      <w:b/>
      <w:bCs/>
      <w:iCs/>
      <w:sz w:val="26"/>
      <w:szCs w:val="26"/>
      <w:lang w:eastAsia="ru-RU"/>
    </w:rPr>
  </w:style>
  <w:style w:type="character" w:customStyle="1" w:styleId="30">
    <w:name w:val="Заголовок 3 Знак"/>
    <w:aliases w:val="ЗАГОЛОВОК 1.1.1 Знак"/>
    <w:link w:val="3"/>
    <w:rsid w:val="00152EDF"/>
    <w:rPr>
      <w:rFonts w:eastAsia="Calibri" w:cs="Arial"/>
      <w:b/>
      <w:bCs/>
      <w:szCs w:val="22"/>
      <w:lang w:eastAsia="ru-RU"/>
    </w:rPr>
  </w:style>
  <w:style w:type="character" w:customStyle="1" w:styleId="40">
    <w:name w:val="Заголовок 4 Знак"/>
    <w:aliases w:val="ЗАГОЛОВОК 1.1.1.1 Знак"/>
    <w:basedOn w:val="a2"/>
    <w:link w:val="4"/>
    <w:rsid w:val="00152EDF"/>
    <w:rPr>
      <w:rFonts w:eastAsiaTheme="majorEastAsia" w:cs="Arial"/>
      <w:b/>
      <w:bCs/>
      <w:iCs/>
      <w:sz w:val="22"/>
      <w:szCs w:val="22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DC7858"/>
    <w:rPr>
      <w:rFonts w:ascii="Times New Roman" w:eastAsiaTheme="majorEastAsia" w:hAnsi="Times New Roman" w:cstheme="majorBidi"/>
      <w:b/>
      <w:iCs/>
      <w:spacing w:val="5"/>
      <w:sz w:val="26"/>
    </w:rPr>
  </w:style>
  <w:style w:type="character" w:customStyle="1" w:styleId="60">
    <w:name w:val="Заголовок 6 Знак"/>
    <w:basedOn w:val="a2"/>
    <w:link w:val="6"/>
    <w:uiPriority w:val="9"/>
    <w:semiHidden/>
    <w:rsid w:val="00DC7858"/>
    <w:rPr>
      <w:rFonts w:ascii="Times New Roman" w:eastAsiaTheme="majorEastAsia" w:hAnsi="Times New Roman" w:cstheme="majorBidi"/>
      <w:b/>
      <w:i/>
      <w:spacing w:val="5"/>
      <w:sz w:val="26"/>
    </w:rPr>
  </w:style>
  <w:style w:type="character" w:customStyle="1" w:styleId="70">
    <w:name w:val="Заголовок 7 Знак"/>
    <w:basedOn w:val="a2"/>
    <w:link w:val="7"/>
    <w:uiPriority w:val="9"/>
    <w:semiHidden/>
    <w:rsid w:val="00DC7858"/>
    <w:rPr>
      <w:rFonts w:ascii="Times New Roman" w:eastAsiaTheme="majorEastAsia" w:hAnsi="Times New Roman" w:cstheme="majorBidi"/>
      <w:i/>
      <w:iCs/>
      <w:spacing w:val="-10"/>
      <w:sz w:val="28"/>
    </w:rPr>
  </w:style>
  <w:style w:type="character" w:customStyle="1" w:styleId="80">
    <w:name w:val="Заголовок 8 Знак"/>
    <w:basedOn w:val="a2"/>
    <w:link w:val="8"/>
    <w:uiPriority w:val="9"/>
    <w:semiHidden/>
    <w:rsid w:val="00DC7858"/>
    <w:rPr>
      <w:rFonts w:ascii="Times New Roman" w:eastAsiaTheme="majorEastAsia" w:hAnsi="Times New Roman" w:cstheme="majorBidi"/>
      <w:sz w:val="28"/>
      <w:szCs w:val="21"/>
    </w:rPr>
  </w:style>
  <w:style w:type="character" w:customStyle="1" w:styleId="90">
    <w:name w:val="Заголовок 9 Знак"/>
    <w:basedOn w:val="a2"/>
    <w:link w:val="9"/>
    <w:uiPriority w:val="9"/>
    <w:semiHidden/>
    <w:rsid w:val="00DC7858"/>
    <w:rPr>
      <w:rFonts w:ascii="Times New Roman" w:eastAsiaTheme="minorEastAsia" w:hAnsi="Times New Roman"/>
      <w:sz w:val="28"/>
    </w:rPr>
  </w:style>
  <w:style w:type="paragraph" w:customStyle="1" w:styleId="1">
    <w:name w:val="_1."/>
    <w:basedOn w:val="10"/>
    <w:next w:val="a1"/>
    <w:link w:val="13"/>
    <w:qFormat/>
    <w:rsid w:val="00650400"/>
    <w:pPr>
      <w:pageBreakBefore/>
      <w:numPr>
        <w:numId w:val="1"/>
      </w:numPr>
      <w:suppressAutoHyphens/>
      <w:spacing w:before="100" w:after="100" w:line="276" w:lineRule="auto"/>
      <w:ind w:right="680"/>
      <w:jc w:val="both"/>
    </w:pPr>
    <w:rPr>
      <w:rFonts w:ascii="Times New Roman" w:hAnsi="Times New Roman" w:cs="Times New Roman"/>
      <w:b w:val="0"/>
      <w:bCs w:val="0"/>
      <w:iCs/>
      <w:snapToGrid w:val="0"/>
      <w:szCs w:val="26"/>
    </w:rPr>
  </w:style>
  <w:style w:type="character" w:customStyle="1" w:styleId="13">
    <w:name w:val="_1. Знак"/>
    <w:basedOn w:val="a2"/>
    <w:link w:val="1"/>
    <w:rsid w:val="00650400"/>
    <w:rPr>
      <w:rFonts w:ascii="Times New Roman" w:eastAsiaTheme="majorEastAsia" w:hAnsi="Times New Roman" w:cs="Times New Roman"/>
      <w:b/>
      <w:bCs/>
      <w:iCs/>
      <w:snapToGrid w:val="0"/>
      <w:sz w:val="28"/>
      <w:szCs w:val="26"/>
    </w:rPr>
  </w:style>
  <w:style w:type="paragraph" w:customStyle="1" w:styleId="11">
    <w:name w:val="_1.1."/>
    <w:basedOn w:val="111"/>
    <w:next w:val="a1"/>
    <w:link w:val="110"/>
    <w:qFormat/>
    <w:rsid w:val="00650400"/>
    <w:pPr>
      <w:numPr>
        <w:ilvl w:val="1"/>
      </w:numPr>
    </w:pPr>
  </w:style>
  <w:style w:type="paragraph" w:customStyle="1" w:styleId="111">
    <w:name w:val="_1.1.1."/>
    <w:basedOn w:val="3"/>
    <w:next w:val="a1"/>
    <w:link w:val="1110"/>
    <w:qFormat/>
    <w:rsid w:val="00650400"/>
    <w:pPr>
      <w:numPr>
        <w:numId w:val="1"/>
      </w:numPr>
      <w:suppressAutoHyphens/>
      <w:spacing w:before="100" w:after="100" w:line="276" w:lineRule="auto"/>
      <w:ind w:right="680"/>
      <w:jc w:val="both"/>
    </w:pPr>
    <w:rPr>
      <w:rFonts w:ascii="Times New Roman" w:hAnsi="Times New Roman" w:cs="Times New Roman"/>
      <w:b w:val="0"/>
      <w:bCs w:val="0"/>
      <w:iCs/>
      <w:szCs w:val="26"/>
    </w:rPr>
  </w:style>
  <w:style w:type="character" w:customStyle="1" w:styleId="1110">
    <w:name w:val="_1.1.1. Знак"/>
    <w:basedOn w:val="a2"/>
    <w:link w:val="111"/>
    <w:rsid w:val="00650400"/>
    <w:rPr>
      <w:rFonts w:ascii="Times New Roman" w:eastAsiaTheme="majorEastAsia" w:hAnsi="Times New Roman" w:cs="Times New Roman"/>
      <w:b/>
      <w:bCs/>
      <w:iCs/>
      <w:szCs w:val="26"/>
    </w:rPr>
  </w:style>
  <w:style w:type="character" w:customStyle="1" w:styleId="110">
    <w:name w:val="_1.1. Знак"/>
    <w:basedOn w:val="a2"/>
    <w:link w:val="11"/>
    <w:rsid w:val="00650400"/>
    <w:rPr>
      <w:rFonts w:ascii="Times New Roman" w:eastAsiaTheme="majorEastAsia" w:hAnsi="Times New Roman" w:cs="Times New Roman"/>
      <w:b/>
      <w:bCs/>
      <w:iCs/>
      <w:szCs w:val="26"/>
    </w:rPr>
  </w:style>
  <w:style w:type="paragraph" w:customStyle="1" w:styleId="1111">
    <w:name w:val="_1.1.1.1."/>
    <w:basedOn w:val="11"/>
    <w:next w:val="a1"/>
    <w:link w:val="11110"/>
    <w:qFormat/>
    <w:rsid w:val="00650400"/>
    <w:pPr>
      <w:numPr>
        <w:ilvl w:val="0"/>
        <w:numId w:val="0"/>
      </w:numPr>
      <w:tabs>
        <w:tab w:val="num" w:pos="567"/>
      </w:tabs>
      <w:ind w:left="930" w:hanging="363"/>
    </w:pPr>
    <w:rPr>
      <w:i/>
    </w:rPr>
  </w:style>
  <w:style w:type="character" w:customStyle="1" w:styleId="11110">
    <w:name w:val="_1.1.1.1. Знак"/>
    <w:basedOn w:val="a2"/>
    <w:link w:val="1111"/>
    <w:rsid w:val="00650400"/>
    <w:rPr>
      <w:rFonts w:ascii="Times New Roman" w:eastAsia="Calibri" w:hAnsi="Times New Roman" w:cs="Times New Roman"/>
      <w:i/>
      <w:iCs/>
      <w:szCs w:val="26"/>
      <w:lang w:eastAsia="ru-RU"/>
    </w:rPr>
  </w:style>
  <w:style w:type="paragraph" w:customStyle="1" w:styleId="a5">
    <w:name w:val="_Верхний колонтитул"/>
    <w:qFormat/>
    <w:rsid w:val="00650400"/>
    <w:pPr>
      <w:tabs>
        <w:tab w:val="center" w:pos="4677"/>
        <w:tab w:val="right" w:pos="9355"/>
      </w:tabs>
      <w:spacing w:after="0" w:line="240" w:lineRule="auto"/>
      <w:ind w:firstLine="0"/>
      <w:jc w:val="center"/>
    </w:pPr>
    <w:rPr>
      <w:rFonts w:ascii="Times New Roman" w:hAnsi="Times New Roman"/>
      <w:i/>
      <w:noProof/>
      <w:sz w:val="20"/>
      <w:lang w:eastAsia="ru-RU"/>
    </w:rPr>
  </w:style>
  <w:style w:type="paragraph" w:customStyle="1" w:styleId="a6">
    <w:name w:val="_Обычный"/>
    <w:link w:val="a7"/>
    <w:qFormat/>
    <w:rsid w:val="00650400"/>
    <w:pPr>
      <w:suppressAutoHyphens/>
      <w:spacing w:after="0"/>
      <w:jc w:val="both"/>
    </w:pPr>
    <w:rPr>
      <w:rFonts w:ascii="Times New Roman" w:hAnsi="Times New Roman" w:cs="Times New Roman"/>
      <w:iCs/>
      <w:szCs w:val="26"/>
    </w:rPr>
  </w:style>
  <w:style w:type="character" w:customStyle="1" w:styleId="a7">
    <w:name w:val="_Обычный Знак"/>
    <w:basedOn w:val="a2"/>
    <w:link w:val="a6"/>
    <w:rsid w:val="00650400"/>
    <w:rPr>
      <w:rFonts w:ascii="Times New Roman" w:hAnsi="Times New Roman" w:cs="Times New Roman"/>
      <w:iCs/>
      <w:szCs w:val="26"/>
    </w:rPr>
  </w:style>
  <w:style w:type="paragraph" w:customStyle="1" w:styleId="a8">
    <w:name w:val="_Нижний колонтитул"/>
    <w:basedOn w:val="a5"/>
    <w:qFormat/>
    <w:rsid w:val="00650400"/>
    <w:rPr>
      <w:i w:val="0"/>
      <w:sz w:val="22"/>
    </w:rPr>
  </w:style>
  <w:style w:type="paragraph" w:customStyle="1" w:styleId="a9">
    <w:name w:val="_Оглавление"/>
    <w:basedOn w:val="a1"/>
    <w:next w:val="a6"/>
    <w:rsid w:val="00650400"/>
    <w:pPr>
      <w:tabs>
        <w:tab w:val="left" w:pos="709"/>
        <w:tab w:val="right" w:leader="dot" w:pos="9498"/>
      </w:tabs>
      <w:spacing w:after="0" w:line="360" w:lineRule="auto"/>
      <w:ind w:right="567"/>
      <w:jc w:val="both"/>
    </w:pPr>
    <w:rPr>
      <w:rFonts w:cs="Times New Roman"/>
      <w:iCs/>
      <w:noProof/>
      <w:szCs w:val="26"/>
    </w:rPr>
  </w:style>
  <w:style w:type="paragraph" w:customStyle="1" w:styleId="aa">
    <w:name w:val="_Рисунок"/>
    <w:basedOn w:val="a6"/>
    <w:next w:val="a6"/>
    <w:link w:val="ab"/>
    <w:qFormat/>
    <w:rsid w:val="00650400"/>
    <w:pPr>
      <w:spacing w:line="276" w:lineRule="auto"/>
      <w:ind w:firstLine="0"/>
      <w:jc w:val="center"/>
    </w:pPr>
  </w:style>
  <w:style w:type="character" w:customStyle="1" w:styleId="ab">
    <w:name w:val="_Рисунок Знак"/>
    <w:basedOn w:val="a7"/>
    <w:link w:val="aa"/>
    <w:rsid w:val="00650400"/>
    <w:rPr>
      <w:rFonts w:ascii="Times New Roman" w:hAnsi="Times New Roman" w:cs="Times New Roman"/>
      <w:iCs/>
      <w:szCs w:val="26"/>
    </w:rPr>
  </w:style>
  <w:style w:type="paragraph" w:customStyle="1" w:styleId="ac">
    <w:name w:val="_Подразделение"/>
    <w:basedOn w:val="a6"/>
    <w:next w:val="a6"/>
    <w:link w:val="ad"/>
    <w:qFormat/>
    <w:rsid w:val="00650400"/>
    <w:pPr>
      <w:keepNext/>
      <w:keepLines/>
    </w:pPr>
    <w:rPr>
      <w:b/>
    </w:rPr>
  </w:style>
  <w:style w:type="character" w:customStyle="1" w:styleId="ad">
    <w:name w:val="_Подразделение Знак"/>
    <w:basedOn w:val="a7"/>
    <w:link w:val="ac"/>
    <w:rsid w:val="00650400"/>
    <w:rPr>
      <w:rFonts w:ascii="Times New Roman" w:hAnsi="Times New Roman" w:cs="Times New Roman"/>
      <w:b/>
      <w:iCs/>
      <w:szCs w:val="26"/>
    </w:rPr>
  </w:style>
  <w:style w:type="character" w:customStyle="1" w:styleId="100">
    <w:name w:val="_Выделение красным_10пт"/>
    <w:basedOn w:val="a2"/>
    <w:uiPriority w:val="1"/>
    <w:rsid w:val="00650400"/>
    <w:rPr>
      <w:rFonts w:ascii="Times New Roman" w:hAnsi="Times New Roman" w:cs="Times New Roman"/>
      <w:iCs/>
      <w:color w:val="FF0000"/>
      <w:sz w:val="20"/>
      <w:szCs w:val="26"/>
      <w:u w:val="none"/>
    </w:rPr>
  </w:style>
  <w:style w:type="character" w:customStyle="1" w:styleId="120">
    <w:name w:val="_Выделение красным_12пт"/>
    <w:basedOn w:val="a2"/>
    <w:uiPriority w:val="1"/>
    <w:rsid w:val="00650400"/>
    <w:rPr>
      <w:rFonts w:ascii="Times New Roman" w:hAnsi="Times New Roman" w:cs="Times New Roman"/>
      <w:b w:val="0"/>
      <w:i w:val="0"/>
      <w:iCs/>
      <w:color w:val="FF0000"/>
      <w:sz w:val="24"/>
      <w:szCs w:val="26"/>
      <w:u w:val="none"/>
    </w:rPr>
  </w:style>
  <w:style w:type="paragraph" w:customStyle="1" w:styleId="a">
    <w:name w:val="_Список маркерованный"/>
    <w:basedOn w:val="a6"/>
    <w:link w:val="ae"/>
    <w:qFormat/>
    <w:rsid w:val="00650400"/>
    <w:pPr>
      <w:numPr>
        <w:numId w:val="2"/>
      </w:numPr>
      <w:tabs>
        <w:tab w:val="left" w:pos="284"/>
      </w:tabs>
    </w:pPr>
  </w:style>
  <w:style w:type="character" w:customStyle="1" w:styleId="ae">
    <w:name w:val="_Список маркерованный Знак"/>
    <w:basedOn w:val="a7"/>
    <w:link w:val="a"/>
    <w:rsid w:val="00650400"/>
    <w:rPr>
      <w:rFonts w:ascii="Times New Roman" w:hAnsi="Times New Roman" w:cs="Times New Roman"/>
      <w:iCs/>
      <w:szCs w:val="26"/>
    </w:rPr>
  </w:style>
  <w:style w:type="paragraph" w:customStyle="1" w:styleId="a0">
    <w:name w:val="_Список нумерованный"/>
    <w:basedOn w:val="a6"/>
    <w:link w:val="af"/>
    <w:qFormat/>
    <w:rsid w:val="00650400"/>
    <w:pPr>
      <w:numPr>
        <w:numId w:val="3"/>
      </w:numPr>
      <w:tabs>
        <w:tab w:val="left" w:pos="284"/>
      </w:tabs>
    </w:pPr>
    <w:rPr>
      <w:iCs w:val="0"/>
    </w:rPr>
  </w:style>
  <w:style w:type="character" w:customStyle="1" w:styleId="af">
    <w:name w:val="_Список нумерованный Знак"/>
    <w:basedOn w:val="a2"/>
    <w:link w:val="a0"/>
    <w:rsid w:val="00650400"/>
    <w:rPr>
      <w:rFonts w:ascii="Times New Roman" w:hAnsi="Times New Roman" w:cs="Times New Roman"/>
      <w:szCs w:val="26"/>
    </w:rPr>
  </w:style>
  <w:style w:type="paragraph" w:customStyle="1" w:styleId="0">
    <w:name w:val="_0."/>
    <w:next w:val="a1"/>
    <w:qFormat/>
    <w:rsid w:val="00650400"/>
    <w:pPr>
      <w:suppressAutoHyphens/>
      <w:spacing w:before="100" w:after="100" w:line="276" w:lineRule="auto"/>
      <w:ind w:firstLine="0"/>
      <w:jc w:val="center"/>
    </w:pPr>
    <w:rPr>
      <w:rFonts w:ascii="Times New Roman" w:hAnsi="Times New Roman" w:cs="Times New Roman"/>
      <w:b/>
      <w:iCs/>
      <w:sz w:val="28"/>
      <w:szCs w:val="26"/>
    </w:rPr>
  </w:style>
  <w:style w:type="paragraph" w:customStyle="1" w:styleId="101">
    <w:name w:val="_Обычный_табл_10пт"/>
    <w:basedOn w:val="a6"/>
    <w:link w:val="102"/>
    <w:rsid w:val="00650400"/>
    <w:pPr>
      <w:suppressAutoHyphens w:val="0"/>
      <w:spacing w:line="276" w:lineRule="auto"/>
      <w:ind w:firstLine="0"/>
      <w:jc w:val="left"/>
    </w:pPr>
    <w:rPr>
      <w:sz w:val="20"/>
      <w:szCs w:val="20"/>
    </w:rPr>
  </w:style>
  <w:style w:type="character" w:customStyle="1" w:styleId="102">
    <w:name w:val="_Обычный_табл_10пт Знак"/>
    <w:basedOn w:val="a7"/>
    <w:link w:val="101"/>
    <w:rsid w:val="00650400"/>
    <w:rPr>
      <w:rFonts w:ascii="Times New Roman" w:hAnsi="Times New Roman" w:cs="Times New Roman"/>
      <w:iCs/>
      <w:sz w:val="20"/>
      <w:szCs w:val="20"/>
    </w:rPr>
  </w:style>
  <w:style w:type="paragraph" w:customStyle="1" w:styleId="121">
    <w:name w:val="_Обычный_табл_12пт"/>
    <w:basedOn w:val="a6"/>
    <w:link w:val="122"/>
    <w:rsid w:val="00650400"/>
    <w:pPr>
      <w:suppressAutoHyphens w:val="0"/>
      <w:spacing w:line="276" w:lineRule="auto"/>
      <w:ind w:firstLine="0"/>
      <w:jc w:val="left"/>
    </w:pPr>
    <w:rPr>
      <w:rFonts w:eastAsia="Times New Roman" w:cs="Arial"/>
      <w:lang w:eastAsia="ru-RU"/>
    </w:rPr>
  </w:style>
  <w:style w:type="character" w:customStyle="1" w:styleId="122">
    <w:name w:val="_Обычный_табл_12пт Знак"/>
    <w:basedOn w:val="a7"/>
    <w:link w:val="121"/>
    <w:rsid w:val="00650400"/>
    <w:rPr>
      <w:rFonts w:ascii="Times New Roman" w:eastAsia="Times New Roman" w:hAnsi="Times New Roman" w:cs="Arial"/>
      <w:iCs/>
      <w:szCs w:val="26"/>
      <w:lang w:eastAsia="ru-RU"/>
    </w:rPr>
  </w:style>
  <w:style w:type="paragraph" w:styleId="14">
    <w:name w:val="toc 1"/>
    <w:basedOn w:val="a6"/>
    <w:next w:val="a6"/>
    <w:link w:val="15"/>
    <w:autoRedefine/>
    <w:uiPriority w:val="39"/>
    <w:qFormat/>
    <w:rsid w:val="00DC7858"/>
    <w:pPr>
      <w:suppressAutoHyphens w:val="0"/>
      <w:spacing w:before="240" w:after="120" w:line="259" w:lineRule="auto"/>
      <w:ind w:firstLine="0"/>
      <w:jc w:val="left"/>
    </w:pPr>
    <w:rPr>
      <w:rFonts w:asciiTheme="minorHAnsi" w:hAnsiTheme="minorHAnsi" w:cstheme="minorHAnsi"/>
      <w:b/>
      <w:bCs/>
      <w:iCs w:val="0"/>
      <w:sz w:val="20"/>
      <w:szCs w:val="20"/>
    </w:rPr>
  </w:style>
  <w:style w:type="character" w:customStyle="1" w:styleId="15">
    <w:name w:val="Оглавление 1 Знак"/>
    <w:basedOn w:val="a7"/>
    <w:link w:val="14"/>
    <w:uiPriority w:val="39"/>
    <w:rsid w:val="00C15531"/>
    <w:rPr>
      <w:rFonts w:asciiTheme="minorHAnsi" w:hAnsiTheme="minorHAnsi" w:cstheme="minorHAnsi"/>
      <w:b/>
      <w:bCs/>
      <w:iCs w:val="0"/>
      <w:sz w:val="20"/>
      <w:szCs w:val="20"/>
    </w:rPr>
  </w:style>
  <w:style w:type="table" w:styleId="af0">
    <w:name w:val="Table Grid"/>
    <w:basedOn w:val="a3"/>
    <w:uiPriority w:val="39"/>
    <w:rsid w:val="00DC7858"/>
    <w:pPr>
      <w:spacing w:after="0" w:line="240" w:lineRule="auto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af1">
    <w:name w:val="Balloon Text"/>
    <w:basedOn w:val="a1"/>
    <w:link w:val="af2"/>
    <w:uiPriority w:val="99"/>
    <w:semiHidden/>
    <w:rsid w:val="00DC785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2"/>
    <w:link w:val="af1"/>
    <w:uiPriority w:val="99"/>
    <w:semiHidden/>
    <w:rsid w:val="00DC7858"/>
    <w:rPr>
      <w:rFonts w:ascii="Segoe UI" w:hAnsi="Segoe UI" w:cs="Segoe UI"/>
      <w:iCs/>
      <w:sz w:val="18"/>
      <w:szCs w:val="18"/>
    </w:rPr>
  </w:style>
  <w:style w:type="paragraph" w:customStyle="1" w:styleId="103">
    <w:name w:val="_Обычный_табл_10пт_по центу"/>
    <w:basedOn w:val="101"/>
    <w:link w:val="104"/>
    <w:qFormat/>
    <w:rsid w:val="00650400"/>
    <w:pPr>
      <w:spacing w:line="240" w:lineRule="auto"/>
      <w:jc w:val="center"/>
    </w:pPr>
  </w:style>
  <w:style w:type="character" w:customStyle="1" w:styleId="104">
    <w:name w:val="_Обычный_табл_10пт_по центу Знак"/>
    <w:basedOn w:val="102"/>
    <w:link w:val="103"/>
    <w:rsid w:val="00650400"/>
    <w:rPr>
      <w:rFonts w:ascii="Times New Roman" w:hAnsi="Times New Roman" w:cs="Times New Roman"/>
      <w:iCs/>
      <w:sz w:val="20"/>
      <w:szCs w:val="20"/>
    </w:rPr>
  </w:style>
  <w:style w:type="paragraph" w:customStyle="1" w:styleId="123">
    <w:name w:val="_Обычный_табл_12пт_по центу"/>
    <w:basedOn w:val="121"/>
    <w:link w:val="124"/>
    <w:qFormat/>
    <w:rsid w:val="00650400"/>
    <w:pPr>
      <w:jc w:val="center"/>
    </w:pPr>
  </w:style>
  <w:style w:type="character" w:customStyle="1" w:styleId="124">
    <w:name w:val="_Обычный_табл_12пт_по центу Знак"/>
    <w:basedOn w:val="122"/>
    <w:link w:val="123"/>
    <w:rsid w:val="00650400"/>
    <w:rPr>
      <w:rFonts w:ascii="Times New Roman" w:eastAsia="Times New Roman" w:hAnsi="Times New Roman" w:cs="Arial"/>
      <w:iCs/>
      <w:szCs w:val="26"/>
      <w:lang w:eastAsia="ru-RU"/>
    </w:rPr>
  </w:style>
  <w:style w:type="character" w:styleId="af3">
    <w:name w:val="annotation reference"/>
    <w:basedOn w:val="a2"/>
    <w:uiPriority w:val="99"/>
    <w:rsid w:val="00DC7858"/>
    <w:rPr>
      <w:sz w:val="16"/>
      <w:szCs w:val="16"/>
    </w:rPr>
  </w:style>
  <w:style w:type="paragraph" w:styleId="af4">
    <w:name w:val="annotation text"/>
    <w:basedOn w:val="a1"/>
    <w:link w:val="af5"/>
    <w:uiPriority w:val="99"/>
    <w:rsid w:val="00DC7858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2"/>
    <w:link w:val="af4"/>
    <w:uiPriority w:val="99"/>
    <w:semiHidden/>
    <w:rsid w:val="00DC7858"/>
    <w:rPr>
      <w:rFonts w:cs="Times New Roman"/>
      <w:iCs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DC785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C7858"/>
    <w:rPr>
      <w:rFonts w:cs="Times New Roman"/>
      <w:b/>
      <w:bCs/>
      <w:iCs/>
      <w:sz w:val="20"/>
      <w:szCs w:val="20"/>
    </w:rPr>
  </w:style>
  <w:style w:type="paragraph" w:styleId="21">
    <w:name w:val="toc 2"/>
    <w:basedOn w:val="a6"/>
    <w:next w:val="a6"/>
    <w:link w:val="22"/>
    <w:uiPriority w:val="39"/>
    <w:semiHidden/>
    <w:qFormat/>
    <w:rsid w:val="00DC7858"/>
    <w:pPr>
      <w:suppressAutoHyphens w:val="0"/>
      <w:spacing w:before="120" w:line="259" w:lineRule="auto"/>
      <w:ind w:left="240" w:firstLine="0"/>
      <w:jc w:val="left"/>
    </w:pPr>
    <w:rPr>
      <w:rFonts w:asciiTheme="minorHAnsi" w:hAnsiTheme="minorHAnsi" w:cstheme="minorHAnsi"/>
      <w:i/>
      <w:sz w:val="20"/>
      <w:szCs w:val="20"/>
    </w:rPr>
  </w:style>
  <w:style w:type="character" w:customStyle="1" w:styleId="22">
    <w:name w:val="Оглавление 2 Знак"/>
    <w:basedOn w:val="a7"/>
    <w:link w:val="21"/>
    <w:uiPriority w:val="39"/>
    <w:semiHidden/>
    <w:rsid w:val="00DC7858"/>
    <w:rPr>
      <w:rFonts w:asciiTheme="minorHAnsi" w:hAnsiTheme="minorHAnsi" w:cstheme="minorHAnsi"/>
      <w:i/>
      <w:iCs/>
      <w:sz w:val="20"/>
      <w:szCs w:val="20"/>
    </w:rPr>
  </w:style>
  <w:style w:type="paragraph" w:styleId="31">
    <w:name w:val="toc 3"/>
    <w:basedOn w:val="a6"/>
    <w:next w:val="a6"/>
    <w:link w:val="32"/>
    <w:uiPriority w:val="39"/>
    <w:semiHidden/>
    <w:qFormat/>
    <w:rsid w:val="00DC7858"/>
    <w:pPr>
      <w:suppressAutoHyphens w:val="0"/>
      <w:spacing w:line="259" w:lineRule="auto"/>
      <w:ind w:left="480" w:firstLine="0"/>
      <w:jc w:val="left"/>
    </w:pPr>
    <w:rPr>
      <w:rFonts w:asciiTheme="minorHAnsi" w:hAnsiTheme="minorHAnsi" w:cstheme="minorHAnsi"/>
      <w:iCs w:val="0"/>
      <w:sz w:val="20"/>
      <w:szCs w:val="20"/>
    </w:rPr>
  </w:style>
  <w:style w:type="character" w:customStyle="1" w:styleId="32">
    <w:name w:val="Оглавление 3 Знак"/>
    <w:basedOn w:val="a7"/>
    <w:link w:val="31"/>
    <w:uiPriority w:val="39"/>
    <w:semiHidden/>
    <w:rsid w:val="00DC7858"/>
    <w:rPr>
      <w:rFonts w:asciiTheme="minorHAnsi" w:hAnsiTheme="minorHAnsi" w:cstheme="minorHAnsi"/>
      <w:iCs w:val="0"/>
      <w:sz w:val="20"/>
      <w:szCs w:val="20"/>
    </w:rPr>
  </w:style>
  <w:style w:type="paragraph" w:customStyle="1" w:styleId="af8">
    <w:name w:val="_Подпись таблицы"/>
    <w:basedOn w:val="a6"/>
    <w:next w:val="a6"/>
    <w:link w:val="af9"/>
    <w:qFormat/>
    <w:rsid w:val="00650400"/>
    <w:pPr>
      <w:keepNext/>
      <w:spacing w:line="276" w:lineRule="auto"/>
    </w:pPr>
  </w:style>
  <w:style w:type="character" w:customStyle="1" w:styleId="af9">
    <w:name w:val="_Подпись таблицы Знак"/>
    <w:basedOn w:val="a7"/>
    <w:link w:val="af8"/>
    <w:rsid w:val="00650400"/>
    <w:rPr>
      <w:rFonts w:ascii="Times New Roman" w:hAnsi="Times New Roman" w:cs="Times New Roman"/>
      <w:iCs/>
      <w:szCs w:val="26"/>
    </w:rPr>
  </w:style>
  <w:style w:type="paragraph" w:styleId="afa">
    <w:name w:val="header"/>
    <w:basedOn w:val="a1"/>
    <w:link w:val="afb"/>
    <w:semiHidden/>
    <w:rsid w:val="00DC7858"/>
    <w:pPr>
      <w:tabs>
        <w:tab w:val="center" w:pos="4677"/>
        <w:tab w:val="right" w:pos="9355"/>
      </w:tabs>
      <w:spacing w:line="240" w:lineRule="auto"/>
    </w:pPr>
  </w:style>
  <w:style w:type="character" w:customStyle="1" w:styleId="afb">
    <w:name w:val="Верхний колонтитул Знак"/>
    <w:basedOn w:val="a2"/>
    <w:link w:val="afa"/>
    <w:semiHidden/>
    <w:rsid w:val="00DC7858"/>
    <w:rPr>
      <w:rFonts w:cs="Times New Roman"/>
      <w:iCs/>
      <w:szCs w:val="26"/>
    </w:rPr>
  </w:style>
  <w:style w:type="character" w:styleId="afc">
    <w:name w:val="Hyperlink"/>
    <w:basedOn w:val="a2"/>
    <w:uiPriority w:val="99"/>
    <w:semiHidden/>
    <w:rsid w:val="00DC7858"/>
    <w:rPr>
      <w:color w:val="0563C1" w:themeColor="hyperlink"/>
      <w:u w:val="single"/>
    </w:rPr>
  </w:style>
  <w:style w:type="paragraph" w:styleId="afd">
    <w:name w:val="caption"/>
    <w:basedOn w:val="a1"/>
    <w:next w:val="a1"/>
    <w:link w:val="afe"/>
    <w:uiPriority w:val="35"/>
    <w:semiHidden/>
    <w:qFormat/>
    <w:rsid w:val="00DC785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fe">
    <w:name w:val="Название объекта Знак"/>
    <w:basedOn w:val="a7"/>
    <w:link w:val="afd"/>
    <w:uiPriority w:val="35"/>
    <w:semiHidden/>
    <w:rsid w:val="00DC7858"/>
    <w:rPr>
      <w:rFonts w:ascii="Times New Roman" w:hAnsi="Times New Roman" w:cs="Times New Roman"/>
      <w:i/>
      <w:iCs w:val="0"/>
      <w:color w:val="44546A" w:themeColor="text2"/>
      <w:sz w:val="18"/>
      <w:szCs w:val="18"/>
    </w:rPr>
  </w:style>
  <w:style w:type="paragraph" w:styleId="aff">
    <w:name w:val="footer"/>
    <w:basedOn w:val="a1"/>
    <w:link w:val="aff0"/>
    <w:uiPriority w:val="99"/>
    <w:semiHidden/>
    <w:qFormat/>
    <w:rsid w:val="00DC7858"/>
    <w:pPr>
      <w:tabs>
        <w:tab w:val="center" w:pos="4677"/>
        <w:tab w:val="right" w:pos="9355"/>
      </w:tabs>
      <w:spacing w:line="240" w:lineRule="auto"/>
    </w:pPr>
  </w:style>
  <w:style w:type="character" w:customStyle="1" w:styleId="aff0">
    <w:name w:val="Нижний колонтитул Знак"/>
    <w:basedOn w:val="a2"/>
    <w:link w:val="aff"/>
    <w:uiPriority w:val="99"/>
    <w:semiHidden/>
    <w:rsid w:val="00DC7858"/>
    <w:rPr>
      <w:rFonts w:cs="Times New Roman"/>
      <w:iCs/>
      <w:szCs w:val="26"/>
    </w:rPr>
  </w:style>
  <w:style w:type="table" w:customStyle="1" w:styleId="16">
    <w:name w:val="Сетка таблицы светлая1"/>
    <w:basedOn w:val="a3"/>
    <w:uiPriority w:val="40"/>
    <w:rsid w:val="00DC7858"/>
    <w:pPr>
      <w:spacing w:after="0" w:line="240" w:lineRule="auto"/>
      <w:jc w:val="both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2">
    <w:name w:val="Таблица простая 11"/>
    <w:basedOn w:val="a3"/>
    <w:uiPriority w:val="41"/>
    <w:rsid w:val="00DC7858"/>
    <w:pPr>
      <w:spacing w:after="0" w:line="240" w:lineRule="auto"/>
      <w:jc w:val="both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3"/>
    <w:uiPriority w:val="42"/>
    <w:rsid w:val="00DC7858"/>
    <w:pPr>
      <w:spacing w:after="0" w:line="240" w:lineRule="auto"/>
      <w:jc w:val="both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0">
    <w:name w:val="Таблица простая 31"/>
    <w:basedOn w:val="a3"/>
    <w:uiPriority w:val="43"/>
    <w:rsid w:val="00DC7858"/>
    <w:pPr>
      <w:spacing w:after="0" w:line="240" w:lineRule="auto"/>
      <w:jc w:val="both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ff1">
    <w:name w:val="Normal (Web)"/>
    <w:basedOn w:val="a6"/>
    <w:uiPriority w:val="99"/>
    <w:semiHidden/>
    <w:rsid w:val="00DC7858"/>
  </w:style>
  <w:style w:type="character" w:customStyle="1" w:styleId="aff2">
    <w:name w:val="_Надстрочный знак"/>
    <w:uiPriority w:val="1"/>
    <w:rsid w:val="00650400"/>
    <w:rPr>
      <w:rFonts w:ascii="Times New Roman" w:hAnsi="Times New Roman"/>
      <w:b w:val="0"/>
      <w:i w:val="0"/>
      <w:caps w:val="0"/>
      <w:smallCaps w:val="0"/>
      <w:strike w:val="0"/>
      <w:dstrike w:val="0"/>
      <w:vanish w:val="0"/>
      <w:color w:val="auto"/>
      <w:sz w:val="24"/>
      <w:vertAlign w:val="superscript"/>
    </w:rPr>
  </w:style>
  <w:style w:type="character" w:customStyle="1" w:styleId="aff3">
    <w:name w:val="_Подстрочный знак"/>
    <w:basedOn w:val="a7"/>
    <w:uiPriority w:val="1"/>
    <w:rsid w:val="00650400"/>
    <w:rPr>
      <w:rFonts w:ascii="Times New Roman" w:hAnsi="Times New Roman" w:cs="Times New Roman"/>
      <w:iCs/>
      <w:caps w:val="0"/>
      <w:smallCaps w:val="0"/>
      <w:strike w:val="0"/>
      <w:dstrike w:val="0"/>
      <w:vanish w:val="0"/>
      <w:sz w:val="24"/>
      <w:szCs w:val="26"/>
      <w:vertAlign w:val="subscript"/>
    </w:rPr>
  </w:style>
  <w:style w:type="character" w:customStyle="1" w:styleId="aff4">
    <w:name w:val="_Скрытый знак"/>
    <w:basedOn w:val="a7"/>
    <w:uiPriority w:val="1"/>
    <w:rsid w:val="00650400"/>
    <w:rPr>
      <w:rFonts w:ascii="Times New Roman" w:hAnsi="Times New Roman" w:cs="Times New Roman"/>
      <w:b w:val="0"/>
      <w:i w:val="0"/>
      <w:iCs/>
      <w:caps w:val="0"/>
      <w:smallCaps w:val="0"/>
      <w:strike/>
      <w:dstrike w:val="0"/>
      <w:vanish/>
      <w:color w:val="FF0000"/>
      <w:sz w:val="24"/>
      <w:szCs w:val="26"/>
      <w:u w:val="none"/>
      <w:vertAlign w:val="baseline"/>
    </w:rPr>
  </w:style>
  <w:style w:type="paragraph" w:customStyle="1" w:styleId="105">
    <w:name w:val="_Список нумерованный_10пт_для табл"/>
    <w:basedOn w:val="a0"/>
    <w:next w:val="103"/>
    <w:rsid w:val="00650400"/>
    <w:pPr>
      <w:suppressAutoHyphens w:val="0"/>
      <w:spacing w:line="240" w:lineRule="auto"/>
      <w:ind w:left="113" w:firstLine="0"/>
      <w:jc w:val="left"/>
    </w:pPr>
    <w:rPr>
      <w:sz w:val="20"/>
    </w:rPr>
  </w:style>
  <w:style w:type="paragraph" w:styleId="aff5">
    <w:name w:val="List Paragraph"/>
    <w:basedOn w:val="a1"/>
    <w:uiPriority w:val="34"/>
    <w:rsid w:val="00DC7858"/>
    <w:pPr>
      <w:ind w:left="720"/>
      <w:contextualSpacing/>
    </w:pPr>
  </w:style>
  <w:style w:type="paragraph" w:styleId="aff6">
    <w:name w:val="No Spacing"/>
    <w:uiPriority w:val="1"/>
    <w:semiHidden/>
    <w:qFormat/>
    <w:rsid w:val="00DC7858"/>
    <w:pPr>
      <w:spacing w:after="0" w:line="240" w:lineRule="auto"/>
      <w:ind w:left="930" w:hanging="363"/>
      <w:jc w:val="both"/>
    </w:pPr>
    <w:rPr>
      <w:rFonts w:cs="Times New Roman"/>
      <w:iCs/>
      <w:szCs w:val="26"/>
    </w:rPr>
  </w:style>
  <w:style w:type="character" w:styleId="aff7">
    <w:name w:val="FollowedHyperlink"/>
    <w:basedOn w:val="a2"/>
    <w:uiPriority w:val="99"/>
    <w:semiHidden/>
    <w:rsid w:val="00DC7858"/>
    <w:rPr>
      <w:color w:val="800080"/>
      <w:u w:val="single"/>
    </w:rPr>
  </w:style>
  <w:style w:type="table" w:customStyle="1" w:styleId="TableGridReport1">
    <w:name w:val="Table Grid Report1"/>
    <w:basedOn w:val="a3"/>
    <w:next w:val="af0"/>
    <w:rsid w:val="00792458"/>
    <w:pPr>
      <w:spacing w:after="0" w:line="240" w:lineRule="auto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41">
    <w:name w:val="toc 4"/>
    <w:basedOn w:val="a1"/>
    <w:next w:val="a1"/>
    <w:autoRedefine/>
    <w:uiPriority w:val="39"/>
    <w:semiHidden/>
    <w:rsid w:val="00AB52D4"/>
    <w:pPr>
      <w:spacing w:after="0"/>
      <w:ind w:left="72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1"/>
    <w:next w:val="a1"/>
    <w:autoRedefine/>
    <w:uiPriority w:val="39"/>
    <w:semiHidden/>
    <w:rsid w:val="00AB52D4"/>
    <w:pPr>
      <w:spacing w:after="0"/>
      <w:ind w:left="960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1"/>
    <w:next w:val="a1"/>
    <w:autoRedefine/>
    <w:uiPriority w:val="39"/>
    <w:semiHidden/>
    <w:rsid w:val="00AB52D4"/>
    <w:pPr>
      <w:spacing w:after="0"/>
      <w:ind w:left="12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1"/>
    <w:next w:val="a1"/>
    <w:autoRedefine/>
    <w:uiPriority w:val="39"/>
    <w:semiHidden/>
    <w:rsid w:val="00AB52D4"/>
    <w:pPr>
      <w:spacing w:after="0"/>
      <w:ind w:left="144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1"/>
    <w:next w:val="a1"/>
    <w:autoRedefine/>
    <w:uiPriority w:val="39"/>
    <w:semiHidden/>
    <w:rsid w:val="00AB52D4"/>
    <w:pPr>
      <w:spacing w:after="0"/>
      <w:ind w:left="1680"/>
    </w:pPr>
    <w:rPr>
      <w:rFonts w:asciiTheme="minorHAnsi" w:hAnsiTheme="minorHAnsi" w:cstheme="minorHAnsi"/>
      <w:sz w:val="20"/>
      <w:szCs w:val="20"/>
    </w:rPr>
  </w:style>
  <w:style w:type="paragraph" w:styleId="91">
    <w:name w:val="toc 9"/>
    <w:basedOn w:val="a1"/>
    <w:next w:val="a1"/>
    <w:autoRedefine/>
    <w:uiPriority w:val="39"/>
    <w:semiHidden/>
    <w:rsid w:val="00AB52D4"/>
    <w:pPr>
      <w:spacing w:after="0"/>
      <w:ind w:left="1920"/>
    </w:pPr>
    <w:rPr>
      <w:rFonts w:asciiTheme="minorHAnsi" w:hAnsiTheme="minorHAnsi" w:cstheme="minorHAnsi"/>
      <w:sz w:val="20"/>
      <w:szCs w:val="20"/>
    </w:rPr>
  </w:style>
  <w:style w:type="paragraph" w:styleId="aff8">
    <w:name w:val="TOC Heading"/>
    <w:basedOn w:val="10"/>
    <w:next w:val="a1"/>
    <w:uiPriority w:val="39"/>
    <w:semiHidden/>
    <w:qFormat/>
    <w:rsid w:val="001F77AB"/>
    <w:pPr>
      <w:outlineLvl w:val="9"/>
    </w:pPr>
    <w:rPr>
      <w:b w:val="0"/>
      <w:iCs/>
      <w:snapToGrid w:val="0"/>
    </w:rPr>
  </w:style>
  <w:style w:type="paragraph" w:customStyle="1" w:styleId="aff9">
    <w:name w:val="_Подпись рисунка"/>
    <w:basedOn w:val="aa"/>
    <w:next w:val="a6"/>
    <w:qFormat/>
    <w:rsid w:val="001C2C41"/>
  </w:style>
  <w:style w:type="paragraph" w:customStyle="1" w:styleId="affa">
    <w:name w:val="ПОДПИСЬ ТАБЛИЦЫ"/>
    <w:basedOn w:val="afd"/>
    <w:uiPriority w:val="99"/>
    <w:qFormat/>
    <w:rsid w:val="00152EDF"/>
    <w:pPr>
      <w:spacing w:after="0"/>
      <w:jc w:val="both"/>
    </w:pPr>
    <w:rPr>
      <w:rFonts w:ascii="Arial" w:eastAsia="Calibri" w:hAnsi="Arial" w:cs="Arial"/>
      <w:bCs/>
      <w:i w:val="0"/>
      <w:iCs w:val="0"/>
      <w:color w:val="auto"/>
      <w:sz w:val="20"/>
      <w:szCs w:val="20"/>
      <w:lang w:eastAsia="ru-RU"/>
    </w:rPr>
  </w:style>
  <w:style w:type="paragraph" w:customStyle="1" w:styleId="affb">
    <w:name w:val="ПОДРИСУНОЧНАЯ"/>
    <w:basedOn w:val="affa"/>
    <w:link w:val="affc"/>
    <w:qFormat/>
    <w:rsid w:val="00152EDF"/>
  </w:style>
  <w:style w:type="character" w:customStyle="1" w:styleId="affc">
    <w:name w:val="ПОДРИСУНОЧНАЯ Знак"/>
    <w:basedOn w:val="a2"/>
    <w:link w:val="affb"/>
    <w:rsid w:val="00152EDF"/>
    <w:rPr>
      <w:rFonts w:eastAsia="Calibri" w:cs="Arial"/>
      <w:bCs/>
      <w:sz w:val="20"/>
      <w:szCs w:val="20"/>
      <w:lang w:eastAsia="ru-RU"/>
    </w:rPr>
  </w:style>
  <w:style w:type="paragraph" w:customStyle="1" w:styleId="affd">
    <w:name w:val="РИСУНОК"/>
    <w:basedOn w:val="a1"/>
    <w:link w:val="affe"/>
    <w:qFormat/>
    <w:rsid w:val="00152ED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noProof/>
      <w:color w:val="000000"/>
      <w:sz w:val="22"/>
      <w:lang w:eastAsia="ru-RU"/>
    </w:rPr>
  </w:style>
  <w:style w:type="character" w:customStyle="1" w:styleId="affe">
    <w:name w:val="РИСУНОК Знак"/>
    <w:link w:val="affd"/>
    <w:locked/>
    <w:rsid w:val="00152EDF"/>
    <w:rPr>
      <w:rFonts w:eastAsia="Times New Roman" w:cs="Arial"/>
      <w:noProof/>
      <w:color w:val="000000"/>
      <w:sz w:val="22"/>
      <w:szCs w:val="22"/>
      <w:lang w:eastAsia="ru-RU"/>
    </w:rPr>
  </w:style>
  <w:style w:type="table" w:customStyle="1" w:styleId="23">
    <w:name w:val="Сетка таблицы светлая2"/>
    <w:aliases w:val="КОНСТРУКТОР"/>
    <w:basedOn w:val="a3"/>
    <w:uiPriority w:val="40"/>
    <w:rsid w:val="00152EDF"/>
    <w:pPr>
      <w:spacing w:after="0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character" w:customStyle="1" w:styleId="afff">
    <w:name w:val="Скрытый знак"/>
    <w:uiPriority w:val="99"/>
    <w:qFormat/>
    <w:rsid w:val="00152EDF"/>
    <w:rPr>
      <w:strike/>
      <w:vanish/>
      <w:color w:val="FF0000"/>
    </w:rPr>
  </w:style>
  <w:style w:type="paragraph" w:customStyle="1" w:styleId="afff0">
    <w:name w:val="ТАБЛИЦА"/>
    <w:basedOn w:val="a1"/>
    <w:link w:val="afff1"/>
    <w:qFormat/>
    <w:rsid w:val="00152EDF"/>
    <w:pPr>
      <w:spacing w:after="0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1">
    <w:name w:val="ТАБЛИЦА Знак"/>
    <w:basedOn w:val="a2"/>
    <w:link w:val="afff0"/>
    <w:rsid w:val="00152EDF"/>
    <w:rPr>
      <w:rFonts w:eastAsia="Times New Roman" w:cs="Arial"/>
      <w:sz w:val="20"/>
      <w:szCs w:val="20"/>
      <w:lang w:eastAsia="ru-RU"/>
    </w:rPr>
  </w:style>
  <w:style w:type="character" w:styleId="afff2">
    <w:name w:val="page number"/>
    <w:basedOn w:val="a2"/>
    <w:rsid w:val="00152EDF"/>
  </w:style>
  <w:style w:type="paragraph" w:customStyle="1" w:styleId="afff3">
    <w:name w:val="Без отступа"/>
    <w:basedOn w:val="a1"/>
    <w:link w:val="afff4"/>
    <w:qFormat/>
    <w:rsid w:val="00152EDF"/>
    <w:pPr>
      <w:widowControl w:val="0"/>
      <w:autoSpaceDE w:val="0"/>
      <w:autoSpaceDN w:val="0"/>
      <w:adjustRightInd w:val="0"/>
      <w:spacing w:after="0" w:line="360" w:lineRule="auto"/>
      <w:ind w:firstLine="567"/>
      <w:jc w:val="both"/>
    </w:pPr>
    <w:rPr>
      <w:rFonts w:ascii="Arial" w:eastAsia="Times New Roman" w:hAnsi="Arial" w:cs="Arial"/>
      <w:color w:val="000000"/>
      <w:sz w:val="22"/>
      <w:lang w:eastAsia="ru-RU"/>
    </w:rPr>
  </w:style>
  <w:style w:type="character" w:customStyle="1" w:styleId="afff4">
    <w:name w:val="Без отступа Знак"/>
    <w:basedOn w:val="a2"/>
    <w:link w:val="afff3"/>
    <w:rsid w:val="00152EDF"/>
    <w:rPr>
      <w:rFonts w:eastAsia="Times New Roman" w:cs="Arial"/>
      <w:color w:val="000000"/>
      <w:sz w:val="22"/>
      <w:szCs w:val="22"/>
      <w:lang w:eastAsia="ru-RU"/>
    </w:rPr>
  </w:style>
  <w:style w:type="paragraph" w:customStyle="1" w:styleId="msonormal0">
    <w:name w:val="msonormal"/>
    <w:basedOn w:val="a1"/>
    <w:rsid w:val="003A42E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1"/>
    <w:rsid w:val="003A42E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1"/>
    <w:rsid w:val="003A4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1"/>
    <w:rsid w:val="003A4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1"/>
    <w:rsid w:val="003A42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1"/>
    <w:rsid w:val="003A42E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rsid w:val="003A42E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1"/>
    <w:rsid w:val="003A4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1"/>
    <w:rsid w:val="003A4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1"/>
    <w:rsid w:val="003A4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1"/>
    <w:rsid w:val="003A42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1"/>
    <w:rsid w:val="003A4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1"/>
    <w:rsid w:val="003A42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1"/>
    <w:rsid w:val="003A42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1"/>
    <w:rsid w:val="003A4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1"/>
    <w:rsid w:val="003A4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1"/>
    <w:rsid w:val="003A4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1"/>
    <w:rsid w:val="003A4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1"/>
    <w:rsid w:val="003A42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1"/>
    <w:rsid w:val="003A4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1"/>
    <w:rsid w:val="007876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1"/>
    <w:rsid w:val="007876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1"/>
    <w:rsid w:val="007876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8">
    <w:name w:val="xl88"/>
    <w:basedOn w:val="a1"/>
    <w:rsid w:val="007876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1"/>
    <w:rsid w:val="007876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BAAC1-167B-48CE-BD57-392E9510F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1979</TotalTime>
  <Pages>23</Pages>
  <Words>8167</Words>
  <Characters>46554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Кокулин</dc:creator>
  <cp:keywords/>
  <dc:description/>
  <cp:lastModifiedBy>Egor Sudarkin</cp:lastModifiedBy>
  <cp:revision>34</cp:revision>
  <cp:lastPrinted>2023-08-24T10:56:00Z</cp:lastPrinted>
  <dcterms:created xsi:type="dcterms:W3CDTF">2018-10-22T11:57:00Z</dcterms:created>
  <dcterms:modified xsi:type="dcterms:W3CDTF">2023-08-24T11:06:00Z</dcterms:modified>
</cp:coreProperties>
</file>